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12FFE">
      <w:pPr>
        <w:widowControl/>
        <w:spacing w:line="640" w:lineRule="exact"/>
        <w:jc w:val="center"/>
        <w:rPr>
          <w:rFonts w:hint="eastAsia" w:ascii="方正小标宋_GBK" w:hAnsi="方正小标宋_GBK" w:eastAsia="方正小标宋_GBK" w:cs="方正小标宋_GBK"/>
          <w:color w:val="000000" w:themeColor="text1"/>
          <w:w w:val="95"/>
          <w:sz w:val="44"/>
          <w:szCs w:val="44"/>
          <w:lang w:eastAsia="zh-CN"/>
        </w:rPr>
      </w:pPr>
      <w:r>
        <w:rPr>
          <w:rFonts w:hint="eastAsia" w:ascii="方正小标宋_GBK" w:hAnsi="方正小标宋_GBK" w:eastAsia="方正小标宋_GBK" w:cs="方正小标宋_GBK"/>
          <w:color w:val="000000" w:themeColor="text1"/>
          <w:w w:val="95"/>
          <w:sz w:val="44"/>
          <w:szCs w:val="44"/>
        </w:rPr>
        <w:t>淮安</w:t>
      </w:r>
      <w:r>
        <w:rPr>
          <w:rFonts w:hint="eastAsia" w:ascii="方正小标宋_GBK" w:hAnsi="方正小标宋_GBK" w:eastAsia="方正小标宋_GBK" w:cs="方正小标宋_GBK"/>
          <w:color w:val="000000" w:themeColor="text1"/>
          <w:w w:val="95"/>
          <w:sz w:val="44"/>
          <w:szCs w:val="44"/>
          <w:lang w:eastAsia="zh-CN"/>
        </w:rPr>
        <w:t>市</w:t>
      </w:r>
      <w:r>
        <w:rPr>
          <w:rFonts w:hint="eastAsia" w:ascii="方正小标宋_GBK" w:hAnsi="方正小标宋_GBK" w:eastAsia="方正小标宋_GBK" w:cs="方正小标宋_GBK"/>
          <w:color w:val="000000" w:themeColor="text1"/>
          <w:w w:val="95"/>
          <w:sz w:val="44"/>
          <w:szCs w:val="44"/>
        </w:rPr>
        <w:t>“十五五”卫生健康</w:t>
      </w:r>
      <w:r>
        <w:rPr>
          <w:rFonts w:hint="eastAsia" w:ascii="方正小标宋_GBK" w:hAnsi="方正小标宋_GBK" w:eastAsia="方正小标宋_GBK" w:cs="方正小标宋_GBK"/>
          <w:color w:val="000000" w:themeColor="text1"/>
          <w:w w:val="95"/>
          <w:sz w:val="44"/>
          <w:szCs w:val="44"/>
          <w:lang w:eastAsia="zh-CN"/>
        </w:rPr>
        <w:t>发展规划</w:t>
      </w:r>
    </w:p>
    <w:p w14:paraId="0D6BA255">
      <w:pPr>
        <w:widowControl/>
        <w:spacing w:line="640" w:lineRule="exact"/>
        <w:jc w:val="center"/>
        <w:rPr>
          <w:rFonts w:hint="eastAsia" w:ascii="方正楷体_GBK" w:hAnsi="方正楷体_GBK" w:eastAsia="方正楷体_GBK" w:cs="方正楷体_GBK"/>
          <w:color w:val="000000" w:themeColor="text1"/>
          <w:w w:val="95"/>
          <w:sz w:val="32"/>
          <w:szCs w:val="32"/>
          <w:lang w:eastAsia="zh-CN"/>
        </w:rPr>
      </w:pPr>
      <w:r>
        <w:rPr>
          <w:rFonts w:hint="eastAsia" w:ascii="方正楷体_GBK" w:hAnsi="方正楷体_GBK" w:eastAsia="方正楷体_GBK" w:cs="方正楷体_GBK"/>
          <w:color w:val="000000" w:themeColor="text1"/>
          <w:w w:val="95"/>
          <w:sz w:val="32"/>
          <w:szCs w:val="32"/>
          <w:lang w:eastAsia="zh-CN"/>
        </w:rPr>
        <w:t>（征求意见稿）</w:t>
      </w:r>
    </w:p>
    <w:p w14:paraId="4F5E55FB">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b w:val="0"/>
          <w:color w:val="auto"/>
          <w:sz w:val="32"/>
          <w:szCs w:val="32"/>
          <w:u w:val="none"/>
          <w:lang w:val="en-US" w:eastAsia="zh-CN"/>
        </w:rPr>
      </w:pPr>
      <w:r>
        <w:rPr>
          <w:rFonts w:hint="eastAsia" w:ascii="方正仿宋_GB2312" w:hAnsi="方正仿宋_GB2312" w:eastAsia="方正仿宋_GBK" w:cs="方正仿宋_GB2312"/>
          <w:color w:val="000000" w:themeColor="text1"/>
          <w:sz w:val="32"/>
          <w:szCs w:val="32"/>
        </w:rPr>
        <w:t xml:space="preserve">  </w:t>
      </w:r>
      <w:r>
        <w:rPr>
          <w:rFonts w:hint="eastAsia" w:ascii="Times New Roman" w:hAnsi="Times New Roman" w:eastAsia="方正仿宋_GBK" w:cs="Times New Roman"/>
          <w:b w:val="0"/>
          <w:color w:val="auto"/>
          <w:sz w:val="32"/>
          <w:szCs w:val="32"/>
          <w:u w:val="none"/>
          <w:lang w:val="en-US" w:eastAsia="zh-CN"/>
        </w:rPr>
        <w:t xml:space="preserve">  </w:t>
      </w:r>
    </w:p>
    <w:p w14:paraId="2274AFA2">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b w:val="0"/>
          <w:color w:val="auto"/>
          <w:sz w:val="32"/>
          <w:szCs w:val="32"/>
          <w:u w:val="none"/>
          <w:lang w:val="en-US" w:eastAsia="zh-CN"/>
        </w:rPr>
      </w:pPr>
      <w:r>
        <w:rPr>
          <w:rFonts w:hint="eastAsia" w:ascii="Times New Roman" w:hAnsi="Times New Roman" w:eastAsia="方正仿宋_GBK" w:cs="Times New Roman"/>
          <w:b w:val="0"/>
          <w:color w:val="auto"/>
          <w:sz w:val="32"/>
          <w:szCs w:val="32"/>
          <w:u w:val="none"/>
          <w:lang w:val="en-US" w:eastAsia="zh-CN"/>
        </w:rPr>
        <w:t>为统筹谋划全市卫生健康事业发展，全方位全周期保障人民群众健康，全面推动卫生健康事业高质量发展，根据《江苏省“十五五”卫生健康发展规划》《淮安市国民经济和社会发展第十五个五年规划纲要》《“健康淮安2030”规划纲要》，编制本规划。</w:t>
      </w:r>
    </w:p>
    <w:p w14:paraId="341D7458">
      <w:pPr>
        <w:keepNext w:val="0"/>
        <w:keepLines w:val="0"/>
        <w:pageBreakBefore w:val="0"/>
        <w:tabs>
          <w:tab w:val="left" w:pos="3934"/>
        </w:tabs>
        <w:kinsoku/>
        <w:wordWrap/>
        <w:overflowPunct/>
        <w:topLinePunct w:val="0"/>
        <w:autoSpaceDE/>
        <w:autoSpaceDN/>
        <w:bidi w:val="0"/>
        <w:adjustRightInd/>
        <w:snapToGrid/>
        <w:spacing w:line="540" w:lineRule="exact"/>
        <w:ind w:firstLine="640"/>
        <w:textAlignment w:val="auto"/>
        <w:rPr>
          <w:rFonts w:hint="eastAsia" w:ascii="Times New Roman" w:hAnsi="Times New Roman" w:eastAsia="黑体" w:cs="Times New Roman"/>
          <w:color w:val="000000" w:themeColor="text1"/>
          <w:sz w:val="32"/>
          <w:szCs w:val="32"/>
          <w:lang w:eastAsia="zh-CN"/>
        </w:rPr>
      </w:pPr>
      <w:r>
        <w:rPr>
          <w:rFonts w:hint="eastAsia" w:ascii="Times New Roman" w:hAnsi="黑体" w:eastAsia="黑体" w:cs="Times New Roman"/>
          <w:color w:val="000000" w:themeColor="text1"/>
          <w:sz w:val="32"/>
          <w:szCs w:val="32"/>
          <w:lang w:eastAsia="zh-CN"/>
        </w:rPr>
        <w:t>一、总体要求</w:t>
      </w:r>
    </w:p>
    <w:p w14:paraId="3AA2EBFF">
      <w:pPr>
        <w:keepNext w:val="0"/>
        <w:keepLines w:val="0"/>
        <w:pageBreakBefore w:val="0"/>
        <w:widowControl w:val="0"/>
        <w:tabs>
          <w:tab w:val="left" w:pos="3934"/>
        </w:tabs>
        <w:kinsoku/>
        <w:wordWrap/>
        <w:overflowPunct w:val="0"/>
        <w:topLinePunct w:val="0"/>
        <w:autoSpaceDE/>
        <w:autoSpaceDN/>
        <w:bidi w:val="0"/>
        <w:adjustRightInd/>
        <w:snapToGrid/>
        <w:spacing w:line="540" w:lineRule="exact"/>
        <w:ind w:firstLine="640" w:firstLineChars="200"/>
        <w:textAlignment w:val="auto"/>
        <w:rPr>
          <w:rFonts w:hint="eastAsia" w:ascii="Times New Roman" w:hAnsi="方正仿宋_GBK" w:eastAsia="方正仿宋_GBK" w:cs="Times New Roman"/>
          <w:color w:val="000000" w:themeColor="text1"/>
          <w:sz w:val="32"/>
          <w:szCs w:val="32"/>
        </w:rPr>
      </w:pPr>
      <w:r>
        <w:rPr>
          <w:rFonts w:hint="eastAsia" w:ascii="Times New Roman" w:hAnsi="Times New Roman" w:eastAsia="方正仿宋_GBK" w:cs="Times New Roman"/>
          <w:color w:val="000000" w:themeColor="text1"/>
          <w:sz w:val="32"/>
          <w:szCs w:val="32"/>
        </w:rPr>
        <w:t>坚持以习近平新时代中国特色社会主义思想为指导，深入学习贯彻党的二十大和二十届</w:t>
      </w:r>
      <w:r>
        <w:rPr>
          <w:rFonts w:hint="eastAsia" w:ascii="Times New Roman" w:hAnsi="Times New Roman" w:eastAsia="方正仿宋_GBK" w:cs="Times New Roman"/>
          <w:color w:val="000000" w:themeColor="text1"/>
          <w:sz w:val="32"/>
          <w:szCs w:val="32"/>
          <w:lang w:eastAsia="zh-CN"/>
        </w:rPr>
        <w:t>历次</w:t>
      </w:r>
      <w:r>
        <w:rPr>
          <w:rFonts w:hint="eastAsia" w:ascii="Times New Roman" w:hAnsi="Times New Roman" w:eastAsia="方正仿宋_GBK" w:cs="Times New Roman"/>
          <w:color w:val="000000" w:themeColor="text1"/>
          <w:sz w:val="32"/>
          <w:szCs w:val="32"/>
        </w:rPr>
        <w:t>全会精神，认真落实习近平总书记关于健康中国建设的重要论述、对江苏工作重要讲话指示精神及对淮安的殷切嘱托，坚持稳中求进工作总基调，完整、准确、全面贯彻新发展理念，坚定不移走中国特色卫生健康发展道路，全面落实新时代卫生健康工作方针，坚守基本医疗卫生事业公益性，以“健康淮安”建设为统领，以</w:t>
      </w:r>
      <w:r>
        <w:rPr>
          <w:rFonts w:hint="eastAsia" w:ascii="Times New Roman" w:hAnsi="Times New Roman" w:eastAsia="方正仿宋_GBK" w:cs="Times New Roman"/>
          <w:color w:val="000000" w:themeColor="text1"/>
          <w:sz w:val="32"/>
          <w:szCs w:val="32"/>
          <w:lang w:eastAsia="zh-CN"/>
        </w:rPr>
        <w:t>推动</w:t>
      </w:r>
      <w:r>
        <w:rPr>
          <w:rFonts w:hint="eastAsia" w:ascii="Times New Roman" w:hAnsi="Times New Roman" w:eastAsia="方正仿宋_GBK" w:cs="Times New Roman"/>
          <w:color w:val="000000" w:themeColor="text1"/>
          <w:sz w:val="32"/>
          <w:szCs w:val="32"/>
        </w:rPr>
        <w:t>高质量发展为主题，</w:t>
      </w:r>
      <w:r>
        <w:rPr>
          <w:rFonts w:hint="eastAsia" w:ascii="Times New Roman" w:hAnsi="Times New Roman" w:eastAsia="方正仿宋_GBK" w:cs="Times New Roman"/>
          <w:color w:val="000000" w:themeColor="text1"/>
          <w:sz w:val="32"/>
          <w:szCs w:val="32"/>
          <w:lang w:eastAsia="zh-CN"/>
        </w:rPr>
        <w:t>以改革创新为根本动力，</w:t>
      </w:r>
      <w:r>
        <w:rPr>
          <w:rFonts w:hint="eastAsia" w:ascii="Times New Roman" w:hAnsi="Times New Roman" w:eastAsia="方正仿宋_GBK" w:cs="Times New Roman"/>
          <w:color w:val="000000" w:themeColor="text1"/>
          <w:sz w:val="32"/>
          <w:szCs w:val="32"/>
        </w:rPr>
        <w:t>聚力打造长三角北部现代化区域医疗高地，为创建“绿色高地、枢纽新城”、建设长三角北部现代化中心城市提供坚实健康保障。</w:t>
      </w:r>
    </w:p>
    <w:p w14:paraId="20913B4E">
      <w:pPr>
        <w:keepNext w:val="0"/>
        <w:keepLines w:val="0"/>
        <w:pageBreakBefore w:val="0"/>
        <w:widowControl w:val="0"/>
        <w:shd w:val="clear" w:color="auto" w:fill="FFFFFF"/>
        <w:kinsoku/>
        <w:wordWrap/>
        <w:topLinePunct w:val="0"/>
        <w:autoSpaceDE/>
        <w:autoSpaceDN/>
        <w:bidi w:val="0"/>
        <w:adjustRightInd/>
        <w:snapToGrid/>
        <w:spacing w:line="540" w:lineRule="exact"/>
        <w:ind w:firstLine="640" w:firstLineChars="200"/>
        <w:contextualSpacing/>
        <w:textAlignment w:val="baseline"/>
        <w:rPr>
          <w:rFonts w:eastAsia="方正黑体_GBK"/>
          <w:sz w:val="32"/>
          <w:szCs w:val="32"/>
        </w:rPr>
      </w:pPr>
      <w:r>
        <w:rPr>
          <w:rFonts w:hint="eastAsia" w:ascii="Times New Roman" w:hAnsi="Times New Roman" w:eastAsia="方正仿宋_GBK"/>
          <w:sz w:val="32"/>
          <w:szCs w:val="32"/>
        </w:rPr>
        <w:t>到</w:t>
      </w:r>
      <w:r>
        <w:rPr>
          <w:rFonts w:ascii="Times New Roman" w:hAnsi="Times New Roman" w:eastAsia="方正仿宋_GBK"/>
          <w:sz w:val="32"/>
          <w:szCs w:val="32"/>
        </w:rPr>
        <w:t>2030</w:t>
      </w:r>
      <w:r>
        <w:rPr>
          <w:rFonts w:hint="eastAsia" w:ascii="Times New Roman" w:hAnsi="Times New Roman" w:eastAsia="方正仿宋_GBK"/>
          <w:sz w:val="32"/>
          <w:szCs w:val="32"/>
        </w:rPr>
        <w:t>年</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优质医疗资源扩容下沉和区域均衡布局取得</w:t>
      </w:r>
      <w:r>
        <w:rPr>
          <w:rFonts w:hint="eastAsia" w:ascii="Times New Roman" w:hAnsi="Times New Roman" w:eastAsia="方正仿宋_GBK"/>
          <w:sz w:val="32"/>
          <w:szCs w:val="32"/>
          <w:lang w:eastAsia="zh-CN"/>
        </w:rPr>
        <w:t>重大</w:t>
      </w:r>
      <w:r>
        <w:rPr>
          <w:rFonts w:hint="eastAsia" w:ascii="Times New Roman" w:hAnsi="Times New Roman" w:eastAsia="方正仿宋_GBK"/>
          <w:sz w:val="32"/>
          <w:szCs w:val="32"/>
        </w:rPr>
        <w:t>进展，医疗服务供给能力明显增强，分级诊疗新格局基本建立，</w:t>
      </w:r>
      <w:r>
        <w:rPr>
          <w:rFonts w:hint="eastAsia" w:ascii="Times New Roman" w:hAnsi="方正仿宋_GBK" w:eastAsia="方正仿宋_GBK" w:cs="Times New Roman"/>
          <w:color w:val="000000" w:themeColor="text1"/>
          <w:sz w:val="32"/>
          <w:szCs w:val="32"/>
        </w:rPr>
        <w:t>与经济发展水平相适应、与长三角北部现代化中心城市功能定位相匹配的现代化医疗卫生体系</w:t>
      </w:r>
      <w:r>
        <w:rPr>
          <w:rFonts w:hint="eastAsia" w:ascii="Times New Roman" w:hAnsi="方正仿宋_GBK" w:eastAsia="方正仿宋_GBK" w:cs="Times New Roman"/>
          <w:color w:val="000000" w:themeColor="text1"/>
          <w:sz w:val="32"/>
          <w:szCs w:val="32"/>
          <w:lang w:eastAsia="zh-CN"/>
        </w:rPr>
        <w:t>持续完善</w:t>
      </w:r>
      <w:r>
        <w:rPr>
          <w:rFonts w:hint="eastAsia" w:ascii="Times New Roman" w:hAnsi="Times New Roman" w:eastAsia="方正仿宋_GBK"/>
          <w:sz w:val="32"/>
          <w:szCs w:val="32"/>
        </w:rPr>
        <w:t>，群众健康水平进一步提升，主要健康指标</w:t>
      </w:r>
      <w:r>
        <w:rPr>
          <w:rFonts w:hint="eastAsia" w:ascii="Times New Roman" w:hAnsi="Times New Roman" w:eastAsia="方正仿宋_GBK"/>
          <w:sz w:val="32"/>
          <w:szCs w:val="32"/>
          <w:lang w:eastAsia="zh-CN"/>
        </w:rPr>
        <w:t>在全省进位争先</w:t>
      </w:r>
      <w:r>
        <w:rPr>
          <w:rFonts w:hint="eastAsia" w:ascii="Times New Roman" w:hAnsi="Times New Roman" w:eastAsia="方正仿宋_GBK"/>
          <w:sz w:val="32"/>
          <w:szCs w:val="32"/>
        </w:rPr>
        <w:t>。生育支持政策和激励机制加快完善，覆盖全人群、全生命周期的人口服务体系不断健全，生育友好型社会建设迈上新的台阶</w:t>
      </w:r>
      <w:r>
        <w:rPr>
          <w:rFonts w:hint="eastAsia" w:ascii="Times New Roman" w:hAnsi="Times New Roman" w:eastAsia="方正仿宋_GBK"/>
          <w:sz w:val="32"/>
          <w:szCs w:val="32"/>
          <w:lang w:eastAsia="zh-CN"/>
        </w:rPr>
        <w:t>，为</w:t>
      </w:r>
      <w:r>
        <w:rPr>
          <w:rFonts w:hint="eastAsia" w:ascii="Times New Roman" w:hAnsi="方正仿宋_GBK" w:eastAsia="方正仿宋_GBK" w:cs="Times New Roman"/>
          <w:color w:val="000000" w:themeColor="text1"/>
          <w:sz w:val="32"/>
          <w:szCs w:val="32"/>
        </w:rPr>
        <w:t>2035年</w:t>
      </w:r>
      <w:r>
        <w:rPr>
          <w:rFonts w:hint="eastAsia" w:ascii="Times New Roman" w:hAnsi="方正仿宋_GBK" w:eastAsia="方正仿宋_GBK" w:cs="Times New Roman"/>
          <w:color w:val="000000" w:themeColor="text1"/>
          <w:sz w:val="32"/>
          <w:szCs w:val="32"/>
          <w:lang w:eastAsia="zh-CN"/>
        </w:rPr>
        <w:t>建成健康淮安奠定坚实基础。</w:t>
      </w:r>
      <w:bookmarkStart w:id="0" w:name="_Toc6236"/>
    </w:p>
    <w:p w14:paraId="658D7E56">
      <w:pPr>
        <w:widowControl/>
        <w:shd w:val="clear" w:color="auto" w:fill="FFFFFF"/>
        <w:spacing w:line="590" w:lineRule="exact"/>
        <w:ind w:firstLine="640"/>
        <w:contextualSpacing/>
        <w:jc w:val="center"/>
        <w:textAlignment w:val="baseline"/>
        <w:outlineLvl w:val="2"/>
        <w:rPr>
          <w:rFonts w:hint="eastAsia" w:eastAsia="方正黑体_GBK"/>
          <w:sz w:val="32"/>
          <w:szCs w:val="32"/>
        </w:rPr>
      </w:pPr>
      <w:r>
        <w:rPr>
          <w:rFonts w:eastAsia="方正黑体_GBK"/>
          <w:sz w:val="32"/>
          <w:szCs w:val="32"/>
        </w:rPr>
        <w:t xml:space="preserve"> </w:t>
      </w:r>
      <w:r>
        <w:rPr>
          <w:rFonts w:hint="eastAsia" w:eastAsia="方正黑体_GBK"/>
          <w:sz w:val="32"/>
          <w:szCs w:val="32"/>
          <w:lang w:eastAsia="zh-CN"/>
        </w:rPr>
        <w:t>“</w:t>
      </w:r>
      <w:r>
        <w:rPr>
          <w:rFonts w:hint="eastAsia" w:eastAsia="方正黑体_GBK"/>
          <w:sz w:val="32"/>
          <w:szCs w:val="32"/>
        </w:rPr>
        <w:t>十五五</w:t>
      </w:r>
      <w:r>
        <w:rPr>
          <w:rFonts w:hint="eastAsia" w:eastAsia="方正黑体_GBK"/>
          <w:sz w:val="32"/>
          <w:szCs w:val="32"/>
          <w:lang w:eastAsia="zh-CN"/>
        </w:rPr>
        <w:t>”</w:t>
      </w:r>
      <w:r>
        <w:rPr>
          <w:rFonts w:hint="eastAsia" w:eastAsia="方正黑体_GBK"/>
          <w:sz w:val="32"/>
          <w:szCs w:val="32"/>
        </w:rPr>
        <w:t>卫生健康发展规划主要发展指标</w:t>
      </w:r>
      <w:bookmarkEnd w:id="0"/>
    </w:p>
    <w:tbl>
      <w:tblPr>
        <w:tblStyle w:val="13"/>
        <w:tblW w:w="8519" w:type="dxa"/>
        <w:jc w:val="center"/>
        <w:tblLayout w:type="autofit"/>
        <w:tblCellMar>
          <w:top w:w="0" w:type="dxa"/>
          <w:left w:w="108" w:type="dxa"/>
          <w:bottom w:w="0" w:type="dxa"/>
          <w:right w:w="108" w:type="dxa"/>
        </w:tblCellMar>
      </w:tblPr>
      <w:tblGrid>
        <w:gridCol w:w="796"/>
        <w:gridCol w:w="1175"/>
        <w:gridCol w:w="2318"/>
        <w:gridCol w:w="829"/>
        <w:gridCol w:w="1133"/>
        <w:gridCol w:w="1133"/>
        <w:gridCol w:w="1135"/>
      </w:tblGrid>
      <w:tr w14:paraId="449D0DB0">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73F05694">
            <w:pPr>
              <w:widowControl/>
              <w:spacing w:line="240" w:lineRule="exact"/>
              <w:ind w:firstLine="0" w:firstLineChars="0"/>
              <w:jc w:val="center"/>
              <w:textAlignment w:val="center"/>
              <w:rPr>
                <w:rFonts w:eastAsia="方正黑体_GBK"/>
                <w:sz w:val="24"/>
              </w:rPr>
            </w:pPr>
            <w:r>
              <w:rPr>
                <w:rFonts w:hint="eastAsia" w:eastAsia="方正黑体_GBK"/>
                <w:sz w:val="24"/>
              </w:rPr>
              <w:t>序号</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1E0F7D73">
            <w:pPr>
              <w:widowControl/>
              <w:spacing w:line="240" w:lineRule="exact"/>
              <w:ind w:firstLine="0" w:firstLineChars="0"/>
              <w:jc w:val="center"/>
              <w:textAlignment w:val="center"/>
              <w:rPr>
                <w:rFonts w:eastAsia="方正黑体_GBK"/>
                <w:sz w:val="24"/>
              </w:rPr>
            </w:pPr>
            <w:r>
              <w:rPr>
                <w:rFonts w:hint="eastAsia" w:eastAsia="方正黑体_GBK"/>
                <w:sz w:val="24"/>
              </w:rPr>
              <w:t>主要指标</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EB566">
            <w:pPr>
              <w:widowControl/>
              <w:spacing w:line="240" w:lineRule="exact"/>
              <w:ind w:firstLine="0" w:firstLineChars="0"/>
              <w:jc w:val="center"/>
              <w:textAlignment w:val="center"/>
              <w:rPr>
                <w:rFonts w:eastAsia="方正黑体_GBK"/>
                <w:sz w:val="24"/>
              </w:rPr>
            </w:pPr>
            <w:r>
              <w:rPr>
                <w:rFonts w:hint="eastAsia" w:eastAsia="方正黑体_GBK"/>
                <w:sz w:val="24"/>
              </w:rPr>
              <w:t>单位</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222E9">
            <w:pPr>
              <w:widowControl/>
              <w:spacing w:line="240" w:lineRule="exact"/>
              <w:ind w:firstLine="0" w:firstLineChars="0"/>
              <w:jc w:val="center"/>
              <w:textAlignment w:val="center"/>
              <w:rPr>
                <w:rFonts w:hint="default" w:eastAsia="方正黑体_GBK"/>
                <w:sz w:val="24"/>
                <w:lang w:val="en-US" w:eastAsia="zh-CN"/>
              </w:rPr>
            </w:pPr>
            <w:r>
              <w:rPr>
                <w:rFonts w:hint="eastAsia" w:eastAsia="方正黑体_GBK"/>
                <w:sz w:val="24"/>
                <w:lang w:val="en-US" w:eastAsia="zh-CN"/>
              </w:rPr>
              <w:t>2025年</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E561B">
            <w:pPr>
              <w:widowControl/>
              <w:spacing w:line="240" w:lineRule="exact"/>
              <w:ind w:firstLine="0" w:firstLineChars="0"/>
              <w:jc w:val="center"/>
              <w:textAlignment w:val="center"/>
              <w:rPr>
                <w:rFonts w:eastAsia="方正黑体_GBK"/>
                <w:sz w:val="24"/>
              </w:rPr>
            </w:pPr>
            <w:r>
              <w:rPr>
                <w:rFonts w:eastAsia="方正黑体_GBK"/>
                <w:sz w:val="24"/>
              </w:rPr>
              <w:t>203</w:t>
            </w:r>
            <w:r>
              <w:rPr>
                <w:rFonts w:hint="eastAsia" w:eastAsia="方正黑体_GBK"/>
                <w:sz w:val="24"/>
                <w:lang w:val="en-US" w:eastAsia="zh-CN"/>
              </w:rPr>
              <w:t>0</w:t>
            </w:r>
            <w:r>
              <w:rPr>
                <w:rFonts w:hint="eastAsia" w:eastAsia="方正黑体_GBK"/>
                <w:sz w:val="24"/>
              </w:rPr>
              <w:t>年</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C260C">
            <w:pPr>
              <w:widowControl/>
              <w:spacing w:line="240" w:lineRule="exact"/>
              <w:ind w:firstLine="0" w:firstLineChars="0"/>
              <w:jc w:val="center"/>
              <w:textAlignment w:val="center"/>
              <w:rPr>
                <w:rFonts w:hint="eastAsia" w:eastAsia="方正黑体_GBK"/>
                <w:sz w:val="24"/>
                <w:lang w:eastAsia="zh-CN"/>
              </w:rPr>
            </w:pPr>
            <w:r>
              <w:rPr>
                <w:rFonts w:hint="eastAsia" w:eastAsia="方正黑体_GBK"/>
                <w:sz w:val="24"/>
                <w:lang w:eastAsia="zh-CN"/>
              </w:rPr>
              <w:t>属性</w:t>
            </w:r>
          </w:p>
        </w:tc>
      </w:tr>
      <w:tr w14:paraId="6B6C7850">
        <w:tblPrEx>
          <w:tblCellMar>
            <w:top w:w="0" w:type="dxa"/>
            <w:left w:w="108" w:type="dxa"/>
            <w:bottom w:w="0" w:type="dxa"/>
            <w:right w:w="108" w:type="dxa"/>
          </w:tblCellMar>
        </w:tblPrEx>
        <w:trPr>
          <w:trHeight w:val="626"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4D27758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5716DCFD">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人均预期寿命</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8B490">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岁</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00551">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79.89</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8AA9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8</w:t>
            </w: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岁左右</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4F68E">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6B167F79">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714581E0">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755194DB">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孕产妇死亡率</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DB601">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/10万</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833AA">
            <w:pPr>
              <w:widowControl/>
              <w:spacing w:line="240" w:lineRule="exact"/>
              <w:ind w:firstLine="0" w:firstLineChars="0"/>
              <w:jc w:val="center"/>
              <w:textAlignment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8FDCE">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C1B43">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6991DE23">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right w:val="single" w:color="000000" w:sz="4" w:space="0"/>
            </w:tcBorders>
            <w:vAlign w:val="center"/>
          </w:tcPr>
          <w:p w14:paraId="210C9435">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3493" w:type="dxa"/>
            <w:gridSpan w:val="2"/>
            <w:tcBorders>
              <w:top w:val="single" w:color="000000" w:sz="4" w:space="0"/>
              <w:left w:val="single" w:color="000000" w:sz="4" w:space="0"/>
              <w:right w:val="single" w:color="000000" w:sz="4" w:space="0"/>
            </w:tcBorders>
            <w:vAlign w:val="center"/>
          </w:tcPr>
          <w:p w14:paraId="426BA7B6">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婴儿死亡率</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498E3">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C93DF">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1.99</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68528">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8FF7B">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6ADF14F0">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089C605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4A19CE22">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重大慢性病过早死亡率</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750DA">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8D976">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9.11</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485E5">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≤8.5</w:t>
            </w:r>
            <w:r>
              <w:rPr>
                <w:rFonts w:hint="eastAsia" w:ascii="方正仿宋_GBK" w:hAnsi="方正仿宋_GBK" w:eastAsia="方正仿宋_GBK" w:cs="方正仿宋_GBK"/>
                <w:color w:val="FF0000"/>
                <w:sz w:val="24"/>
                <w:szCs w:val="24"/>
                <w:lang w:val="en-US" w:eastAsia="zh-CN"/>
              </w:rPr>
              <w:t>(9</w:t>
            </w:r>
            <w:r>
              <w:rPr>
                <w:rFonts w:hint="eastAsia" w:ascii="方正仿宋_GBK" w:hAnsi="方正仿宋_GBK" w:eastAsia="方正仿宋_GBK" w:cs="方正仿宋_GBK"/>
                <w:sz w:val="24"/>
                <w:szCs w:val="24"/>
                <w:lang w:val="en-US" w:eastAsia="zh-CN"/>
              </w:rPr>
              <w:t>)</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C5B7A">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20DCE38F">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18198D66">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5</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469AC77D">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居民健康素养水平</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8F9C4">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D3846">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43.3</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8FCA0">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≥46</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A6657">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59C9D07A">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60C93BB0">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6</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22E15848">
            <w:pPr>
              <w:widowControl/>
              <w:spacing w:line="240" w:lineRule="exact"/>
              <w:ind w:firstLine="0" w:firstLineChars="0"/>
              <w:textAlignment w:val="center"/>
              <w:rPr>
                <w:rFonts w:hint="eastAsia" w:ascii="方正仿宋_GBK" w:hAnsi="方正仿宋_GBK" w:eastAsia="方正仿宋_GBK" w:cs="方正仿宋_GBK"/>
                <w:sz w:val="24"/>
                <w:szCs w:val="24"/>
              </w:rPr>
            </w:pPr>
            <w:bookmarkStart w:id="1" w:name="OLE_LINK26"/>
            <w:bookmarkStart w:id="2" w:name="OLE_LINK25"/>
            <w:r>
              <w:rPr>
                <w:rFonts w:hint="eastAsia" w:ascii="方正仿宋_GBK" w:hAnsi="方正仿宋_GBK" w:eastAsia="方正仿宋_GBK" w:cs="方正仿宋_GBK"/>
                <w:sz w:val="24"/>
                <w:szCs w:val="24"/>
              </w:rPr>
              <w:t>经常参加体育锻炼人数比例</w:t>
            </w:r>
            <w:bookmarkEnd w:id="1"/>
            <w:bookmarkEnd w:id="2"/>
          </w:p>
        </w:tc>
        <w:tc>
          <w:tcPr>
            <w:tcW w:w="829" w:type="dxa"/>
            <w:tcBorders>
              <w:top w:val="single" w:color="000000" w:sz="4" w:space="0"/>
              <w:left w:val="single" w:color="000000" w:sz="4" w:space="0"/>
              <w:bottom w:val="single" w:color="000000" w:sz="4" w:space="0"/>
              <w:right w:val="single" w:color="000000" w:sz="4" w:space="0"/>
            </w:tcBorders>
            <w:vAlign w:val="center"/>
          </w:tcPr>
          <w:p w14:paraId="1CC5254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p>
        </w:tc>
        <w:tc>
          <w:tcPr>
            <w:tcW w:w="1133" w:type="dxa"/>
            <w:tcBorders>
              <w:top w:val="single" w:color="000000" w:sz="4" w:space="0"/>
              <w:left w:val="single" w:color="000000" w:sz="4" w:space="0"/>
              <w:bottom w:val="single" w:color="000000" w:sz="4" w:space="0"/>
              <w:right w:val="single" w:color="000000" w:sz="4" w:space="0"/>
            </w:tcBorders>
            <w:vAlign w:val="center"/>
          </w:tcPr>
          <w:p w14:paraId="3EDED3D8">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40.6</w:t>
            </w:r>
          </w:p>
        </w:tc>
        <w:tc>
          <w:tcPr>
            <w:tcW w:w="1133" w:type="dxa"/>
            <w:tcBorders>
              <w:top w:val="single" w:color="000000" w:sz="4" w:space="0"/>
              <w:left w:val="single" w:color="000000" w:sz="4" w:space="0"/>
              <w:bottom w:val="single" w:color="000000" w:sz="4" w:space="0"/>
              <w:right w:val="single" w:color="000000" w:sz="4" w:space="0"/>
            </w:tcBorders>
            <w:vAlign w:val="center"/>
          </w:tcPr>
          <w:p w14:paraId="608EAADB">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46左右</w:t>
            </w:r>
          </w:p>
        </w:tc>
        <w:tc>
          <w:tcPr>
            <w:tcW w:w="1135" w:type="dxa"/>
            <w:tcBorders>
              <w:top w:val="single" w:color="000000" w:sz="4" w:space="0"/>
              <w:left w:val="single" w:color="000000" w:sz="4" w:space="0"/>
              <w:bottom w:val="single" w:color="000000" w:sz="4" w:space="0"/>
              <w:right w:val="single" w:color="000000" w:sz="4" w:space="0"/>
            </w:tcBorders>
            <w:vAlign w:val="center"/>
          </w:tcPr>
          <w:p w14:paraId="0E579DF7">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48DC71B8">
        <w:tblPrEx>
          <w:tblCellMar>
            <w:top w:w="0" w:type="dxa"/>
            <w:left w:w="108" w:type="dxa"/>
            <w:bottom w:w="0" w:type="dxa"/>
            <w:right w:w="108" w:type="dxa"/>
          </w:tblCellMar>
        </w:tblPrEx>
        <w:trPr>
          <w:trHeight w:val="626" w:hRule="atLeast"/>
          <w:jc w:val="center"/>
        </w:trPr>
        <w:tc>
          <w:tcPr>
            <w:tcW w:w="796" w:type="dxa"/>
            <w:vMerge w:val="restart"/>
            <w:tcBorders>
              <w:top w:val="single" w:color="000000" w:sz="4" w:space="0"/>
              <w:left w:val="single" w:color="000000" w:sz="4" w:space="0"/>
              <w:bottom w:val="single" w:color="000000" w:sz="4" w:space="0"/>
              <w:right w:val="single" w:color="000000" w:sz="4" w:space="0"/>
            </w:tcBorders>
            <w:vAlign w:val="center"/>
          </w:tcPr>
          <w:p w14:paraId="51816ACB">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7</w:t>
            </w:r>
          </w:p>
        </w:tc>
        <w:tc>
          <w:tcPr>
            <w:tcW w:w="1175" w:type="dxa"/>
            <w:vMerge w:val="restart"/>
            <w:tcBorders>
              <w:top w:val="single" w:color="000000" w:sz="4" w:space="0"/>
              <w:left w:val="single" w:color="000000" w:sz="4" w:space="0"/>
              <w:bottom w:val="single" w:color="000000" w:sz="4" w:space="0"/>
              <w:right w:val="single" w:color="000000" w:sz="4" w:space="0"/>
            </w:tcBorders>
            <w:vAlign w:val="center"/>
          </w:tcPr>
          <w:p w14:paraId="385D9B83">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每千人口拥有医护人员数</w:t>
            </w:r>
          </w:p>
        </w:tc>
        <w:tc>
          <w:tcPr>
            <w:tcW w:w="2318" w:type="dxa"/>
            <w:tcBorders>
              <w:top w:val="single" w:color="000000" w:sz="4" w:space="0"/>
              <w:left w:val="single" w:color="000000" w:sz="4" w:space="0"/>
              <w:bottom w:val="single" w:color="000000" w:sz="4" w:space="0"/>
              <w:right w:val="single" w:color="000000" w:sz="4" w:space="0"/>
            </w:tcBorders>
            <w:vAlign w:val="center"/>
          </w:tcPr>
          <w:p w14:paraId="069E8DEA">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每千人口执业医师数</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929140">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31CE0">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3.13</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A3A35">
            <w:pPr>
              <w:widowControl/>
              <w:spacing w:line="240" w:lineRule="exact"/>
              <w:ind w:firstLine="0" w:firstLineChars="0"/>
              <w:jc w:val="center"/>
              <w:textAlignment w:val="center"/>
              <w:rPr>
                <w:rFonts w:hint="eastAsia" w:ascii="方正仿宋_GBK" w:hAnsi="方正仿宋_GBK" w:eastAsia="方正仿宋_GBK" w:cs="方正仿宋_GBK"/>
                <w:color w:val="FF0000"/>
                <w:sz w:val="24"/>
                <w:szCs w:val="24"/>
              </w:rPr>
            </w:pPr>
            <w:r>
              <w:rPr>
                <w:rFonts w:hint="eastAsia" w:ascii="方正仿宋_GBK" w:hAnsi="方正仿宋_GBK" w:eastAsia="方正仿宋_GBK" w:cs="方正仿宋_GBK"/>
                <w:color w:val="FF0000"/>
                <w:sz w:val="24"/>
                <w:szCs w:val="24"/>
              </w:rPr>
              <w:t>3.7</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62253">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51E43175">
        <w:tblPrEx>
          <w:tblCellMar>
            <w:top w:w="0" w:type="dxa"/>
            <w:left w:w="108" w:type="dxa"/>
            <w:bottom w:w="0" w:type="dxa"/>
            <w:right w:w="108" w:type="dxa"/>
          </w:tblCellMar>
        </w:tblPrEx>
        <w:trPr>
          <w:trHeight w:val="626" w:hRule="atLeast"/>
          <w:jc w:val="center"/>
        </w:trPr>
        <w:tc>
          <w:tcPr>
            <w:tcW w:w="796" w:type="dxa"/>
            <w:vMerge w:val="continue"/>
            <w:tcBorders>
              <w:top w:val="single" w:color="000000" w:sz="4" w:space="0"/>
              <w:left w:val="single" w:color="000000" w:sz="4" w:space="0"/>
              <w:bottom w:val="single" w:color="000000" w:sz="4" w:space="0"/>
              <w:right w:val="single" w:color="000000" w:sz="4" w:space="0"/>
            </w:tcBorders>
            <w:vAlign w:val="center"/>
          </w:tcPr>
          <w:p w14:paraId="6A84F3BC">
            <w:pPr>
              <w:widowControl/>
              <w:spacing w:line="240" w:lineRule="exact"/>
              <w:ind w:firstLine="0" w:firstLineChars="0"/>
              <w:jc w:val="center"/>
              <w:rPr>
                <w:rFonts w:hint="eastAsia" w:ascii="方正仿宋_GBK" w:hAnsi="方正仿宋_GBK" w:eastAsia="方正仿宋_GBK" w:cs="方正仿宋_GBK"/>
                <w:sz w:val="24"/>
                <w:szCs w:val="24"/>
              </w:rPr>
            </w:pPr>
          </w:p>
        </w:tc>
        <w:tc>
          <w:tcPr>
            <w:tcW w:w="1175" w:type="dxa"/>
            <w:vMerge w:val="continue"/>
            <w:tcBorders>
              <w:top w:val="single" w:color="000000" w:sz="4" w:space="0"/>
              <w:left w:val="single" w:color="000000" w:sz="4" w:space="0"/>
              <w:bottom w:val="single" w:color="000000" w:sz="4" w:space="0"/>
              <w:right w:val="single" w:color="000000" w:sz="4" w:space="0"/>
            </w:tcBorders>
            <w:vAlign w:val="center"/>
          </w:tcPr>
          <w:p w14:paraId="68E53333">
            <w:pPr>
              <w:widowControl/>
              <w:spacing w:line="240" w:lineRule="exact"/>
              <w:ind w:firstLine="0" w:firstLineChars="0"/>
              <w:jc w:val="center"/>
              <w:rPr>
                <w:rFonts w:hint="eastAsia" w:ascii="方正仿宋_GBK" w:hAnsi="方正仿宋_GBK" w:eastAsia="方正仿宋_GBK" w:cs="方正仿宋_GBK"/>
                <w:sz w:val="24"/>
                <w:szCs w:val="24"/>
              </w:rPr>
            </w:pPr>
          </w:p>
        </w:tc>
        <w:tc>
          <w:tcPr>
            <w:tcW w:w="2318" w:type="dxa"/>
            <w:tcBorders>
              <w:top w:val="single" w:color="000000" w:sz="4" w:space="0"/>
              <w:left w:val="single" w:color="000000" w:sz="4" w:space="0"/>
              <w:bottom w:val="single" w:color="000000" w:sz="4" w:space="0"/>
              <w:right w:val="single" w:color="000000" w:sz="4" w:space="0"/>
            </w:tcBorders>
            <w:vAlign w:val="center"/>
          </w:tcPr>
          <w:p w14:paraId="6DCEA2A8">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每千人口注册护士数</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67631">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1D4B8">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3.95</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9BBDE">
            <w:pPr>
              <w:widowControl/>
              <w:spacing w:line="240" w:lineRule="exact"/>
              <w:ind w:firstLine="0" w:firstLineChars="0"/>
              <w:jc w:val="center"/>
              <w:textAlignment w:val="center"/>
              <w:rPr>
                <w:rFonts w:hint="eastAsia" w:ascii="方正仿宋_GBK" w:hAnsi="方正仿宋_GBK" w:eastAsia="方正仿宋_GBK" w:cs="方正仿宋_GBK"/>
                <w:color w:val="FF0000"/>
                <w:sz w:val="24"/>
                <w:szCs w:val="24"/>
              </w:rPr>
            </w:pPr>
            <w:r>
              <w:rPr>
                <w:rFonts w:hint="eastAsia" w:ascii="方正仿宋_GBK" w:hAnsi="方正仿宋_GBK" w:eastAsia="方正仿宋_GBK" w:cs="方正仿宋_GBK"/>
                <w:color w:val="FF0000"/>
                <w:sz w:val="24"/>
                <w:szCs w:val="24"/>
              </w:rPr>
              <w:t>5.0</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6943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5C92E08B">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12C8C267">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8</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75A0A793">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每万常住人口全科医生数</w:t>
            </w:r>
          </w:p>
        </w:tc>
        <w:tc>
          <w:tcPr>
            <w:tcW w:w="829" w:type="dxa"/>
            <w:tcBorders>
              <w:top w:val="single" w:color="000000" w:sz="4" w:space="0"/>
              <w:left w:val="single" w:color="000000" w:sz="4" w:space="0"/>
              <w:bottom w:val="single" w:color="000000" w:sz="4" w:space="0"/>
              <w:right w:val="single" w:color="000000" w:sz="4" w:space="0"/>
            </w:tcBorders>
            <w:vAlign w:val="center"/>
          </w:tcPr>
          <w:p w14:paraId="66F62A69">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w:t>
            </w:r>
          </w:p>
        </w:tc>
        <w:tc>
          <w:tcPr>
            <w:tcW w:w="1133" w:type="dxa"/>
            <w:tcBorders>
              <w:top w:val="single" w:color="000000" w:sz="4" w:space="0"/>
              <w:left w:val="single" w:color="000000" w:sz="4" w:space="0"/>
              <w:bottom w:val="single" w:color="000000" w:sz="4" w:space="0"/>
              <w:right w:val="single" w:color="000000" w:sz="4" w:space="0"/>
            </w:tcBorders>
            <w:vAlign w:val="center"/>
          </w:tcPr>
          <w:p w14:paraId="5160300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4.84</w:t>
            </w:r>
          </w:p>
        </w:tc>
        <w:tc>
          <w:tcPr>
            <w:tcW w:w="1133" w:type="dxa"/>
            <w:tcBorders>
              <w:top w:val="single" w:color="000000" w:sz="4" w:space="0"/>
              <w:left w:val="single" w:color="000000" w:sz="4" w:space="0"/>
              <w:bottom w:val="single" w:color="000000" w:sz="4" w:space="0"/>
              <w:right w:val="single" w:color="000000" w:sz="4" w:space="0"/>
            </w:tcBorders>
            <w:vAlign w:val="center"/>
          </w:tcPr>
          <w:p w14:paraId="2F7731C9">
            <w:pPr>
              <w:widowControl/>
              <w:spacing w:line="240" w:lineRule="exac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w:t>
            </w:r>
          </w:p>
        </w:tc>
        <w:tc>
          <w:tcPr>
            <w:tcW w:w="1135" w:type="dxa"/>
            <w:tcBorders>
              <w:top w:val="single" w:color="000000" w:sz="4" w:space="0"/>
              <w:left w:val="single" w:color="000000" w:sz="4" w:space="0"/>
              <w:bottom w:val="single" w:color="000000" w:sz="4" w:space="0"/>
              <w:right w:val="single" w:color="000000" w:sz="4" w:space="0"/>
            </w:tcBorders>
            <w:vAlign w:val="center"/>
          </w:tcPr>
          <w:p w14:paraId="7F481586">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652ACC0F">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033FEC7A">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9</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69791D61">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每千人口基层卫生人员数</w:t>
            </w:r>
          </w:p>
        </w:tc>
        <w:tc>
          <w:tcPr>
            <w:tcW w:w="829" w:type="dxa"/>
            <w:tcBorders>
              <w:top w:val="single" w:color="000000" w:sz="4" w:space="0"/>
              <w:left w:val="single" w:color="000000" w:sz="4" w:space="0"/>
              <w:bottom w:val="single" w:color="000000" w:sz="4" w:space="0"/>
              <w:right w:val="single" w:color="000000" w:sz="4" w:space="0"/>
            </w:tcBorders>
            <w:vAlign w:val="center"/>
          </w:tcPr>
          <w:p w14:paraId="6FB05464">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w:t>
            </w:r>
          </w:p>
        </w:tc>
        <w:tc>
          <w:tcPr>
            <w:tcW w:w="1133" w:type="dxa"/>
            <w:tcBorders>
              <w:top w:val="single" w:color="000000" w:sz="4" w:space="0"/>
              <w:left w:val="single" w:color="000000" w:sz="4" w:space="0"/>
              <w:bottom w:val="single" w:color="000000" w:sz="4" w:space="0"/>
              <w:right w:val="single" w:color="000000" w:sz="4" w:space="0"/>
            </w:tcBorders>
            <w:vAlign w:val="center"/>
          </w:tcPr>
          <w:p w14:paraId="1EC06E53">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4.8</w:t>
            </w:r>
          </w:p>
        </w:tc>
        <w:tc>
          <w:tcPr>
            <w:tcW w:w="1133" w:type="dxa"/>
            <w:tcBorders>
              <w:top w:val="single" w:color="000000" w:sz="4" w:space="0"/>
              <w:left w:val="single" w:color="000000" w:sz="4" w:space="0"/>
              <w:bottom w:val="single" w:color="000000" w:sz="4" w:space="0"/>
              <w:right w:val="single" w:color="000000" w:sz="4" w:space="0"/>
            </w:tcBorders>
            <w:vAlign w:val="center"/>
          </w:tcPr>
          <w:p w14:paraId="35166C1F">
            <w:pPr>
              <w:widowControl/>
              <w:spacing w:line="240" w:lineRule="exac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4.3</w:t>
            </w:r>
          </w:p>
        </w:tc>
        <w:tc>
          <w:tcPr>
            <w:tcW w:w="1135" w:type="dxa"/>
            <w:tcBorders>
              <w:top w:val="single" w:color="000000" w:sz="4" w:space="0"/>
              <w:left w:val="single" w:color="000000" w:sz="4" w:space="0"/>
              <w:bottom w:val="single" w:color="000000" w:sz="4" w:space="0"/>
              <w:right w:val="single" w:color="000000" w:sz="4" w:space="0"/>
            </w:tcBorders>
            <w:vAlign w:val="center"/>
          </w:tcPr>
          <w:p w14:paraId="4711C581">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5B6D0AB6">
        <w:tblPrEx>
          <w:tblCellMar>
            <w:top w:w="0" w:type="dxa"/>
            <w:left w:w="108" w:type="dxa"/>
            <w:bottom w:w="0" w:type="dxa"/>
            <w:right w:w="108" w:type="dxa"/>
          </w:tblCellMar>
        </w:tblPrEx>
        <w:trPr>
          <w:trHeight w:val="626"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2A95197C">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10</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6AF6F5BB">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乡村医生中具备执业（助理）医师资格的人员比例</w:t>
            </w:r>
          </w:p>
        </w:tc>
        <w:tc>
          <w:tcPr>
            <w:tcW w:w="829" w:type="dxa"/>
            <w:tcBorders>
              <w:top w:val="single" w:color="000000" w:sz="4" w:space="0"/>
              <w:left w:val="single" w:color="000000" w:sz="4" w:space="0"/>
              <w:bottom w:val="single" w:color="000000" w:sz="4" w:space="0"/>
              <w:right w:val="single" w:color="000000" w:sz="4" w:space="0"/>
            </w:tcBorders>
            <w:vAlign w:val="center"/>
          </w:tcPr>
          <w:p w14:paraId="065C5734">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p>
        </w:tc>
        <w:tc>
          <w:tcPr>
            <w:tcW w:w="1133" w:type="dxa"/>
            <w:tcBorders>
              <w:top w:val="single" w:color="000000" w:sz="4" w:space="0"/>
              <w:left w:val="single" w:color="000000" w:sz="4" w:space="0"/>
              <w:bottom w:val="single" w:color="000000" w:sz="4" w:space="0"/>
              <w:right w:val="single" w:color="000000" w:sz="4" w:space="0"/>
            </w:tcBorders>
            <w:vAlign w:val="center"/>
          </w:tcPr>
          <w:p w14:paraId="51257549">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rPr>
            </w:pPr>
            <w:r>
              <w:rPr>
                <w:rFonts w:hint="eastAsia" w:ascii="方正仿宋_GBK" w:hAnsi="方正仿宋_GBK" w:eastAsia="方正仿宋_GBK" w:cs="方正仿宋_GBK"/>
                <w:sz w:val="24"/>
                <w:szCs w:val="24"/>
                <w:lang w:val="en-US" w:eastAsia="zh-CN"/>
              </w:rPr>
              <w:t>60.17</w:t>
            </w:r>
          </w:p>
        </w:tc>
        <w:tc>
          <w:tcPr>
            <w:tcW w:w="1133" w:type="dxa"/>
            <w:tcBorders>
              <w:top w:val="single" w:color="000000" w:sz="4" w:space="0"/>
              <w:left w:val="single" w:color="000000" w:sz="4" w:space="0"/>
              <w:bottom w:val="single" w:color="000000" w:sz="4" w:space="0"/>
              <w:right w:val="single" w:color="000000" w:sz="4" w:space="0"/>
            </w:tcBorders>
            <w:vAlign w:val="center"/>
          </w:tcPr>
          <w:p w14:paraId="2EEDEA92">
            <w:pPr>
              <w:widowControl/>
              <w:spacing w:line="240" w:lineRule="exac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70</w:t>
            </w:r>
          </w:p>
        </w:tc>
        <w:tc>
          <w:tcPr>
            <w:tcW w:w="1135" w:type="dxa"/>
            <w:tcBorders>
              <w:top w:val="single" w:color="000000" w:sz="4" w:space="0"/>
              <w:left w:val="single" w:color="000000" w:sz="4" w:space="0"/>
              <w:bottom w:val="single" w:color="000000" w:sz="4" w:space="0"/>
              <w:right w:val="single" w:color="000000" w:sz="4" w:space="0"/>
            </w:tcBorders>
            <w:vAlign w:val="center"/>
          </w:tcPr>
          <w:p w14:paraId="13CD201D">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5850E6FA">
        <w:tblPrEx>
          <w:tblCellMar>
            <w:top w:w="0" w:type="dxa"/>
            <w:left w:w="108" w:type="dxa"/>
            <w:bottom w:w="0" w:type="dxa"/>
            <w:right w:w="108" w:type="dxa"/>
          </w:tblCellMar>
        </w:tblPrEx>
        <w:trPr>
          <w:trHeight w:val="626" w:hRule="atLeast"/>
          <w:jc w:val="center"/>
        </w:trPr>
        <w:tc>
          <w:tcPr>
            <w:tcW w:w="796" w:type="dxa"/>
            <w:tcBorders>
              <w:top w:val="single" w:color="000000" w:sz="4" w:space="0"/>
              <w:left w:val="single" w:color="000000" w:sz="4" w:space="0"/>
              <w:right w:val="single" w:color="000000" w:sz="4" w:space="0"/>
            </w:tcBorders>
            <w:vAlign w:val="center"/>
          </w:tcPr>
          <w:p w14:paraId="49A31D76">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lang w:val="en-US" w:eastAsia="zh-CN"/>
              </w:rPr>
              <w:t>1</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544F6DC6">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每千人口公立医疗卫生机构床位数（张）</w:t>
            </w:r>
          </w:p>
        </w:tc>
        <w:tc>
          <w:tcPr>
            <w:tcW w:w="829" w:type="dxa"/>
            <w:tcBorders>
              <w:top w:val="single" w:color="000000" w:sz="4" w:space="0"/>
              <w:left w:val="single" w:color="000000" w:sz="4" w:space="0"/>
              <w:bottom w:val="single" w:color="000000" w:sz="4" w:space="0"/>
              <w:right w:val="single" w:color="000000" w:sz="4" w:space="0"/>
            </w:tcBorders>
            <w:vAlign w:val="center"/>
          </w:tcPr>
          <w:p w14:paraId="561ACE38">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张</w:t>
            </w:r>
          </w:p>
        </w:tc>
        <w:tc>
          <w:tcPr>
            <w:tcW w:w="1133" w:type="dxa"/>
            <w:tcBorders>
              <w:top w:val="single" w:color="000000" w:sz="4" w:space="0"/>
              <w:left w:val="single" w:color="000000" w:sz="4" w:space="0"/>
              <w:bottom w:val="single" w:color="000000" w:sz="4" w:space="0"/>
              <w:right w:val="single" w:color="000000" w:sz="4" w:space="0"/>
            </w:tcBorders>
            <w:vAlign w:val="center"/>
          </w:tcPr>
          <w:p w14:paraId="03C285A8">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6.46</w:t>
            </w:r>
          </w:p>
        </w:tc>
        <w:tc>
          <w:tcPr>
            <w:tcW w:w="1133" w:type="dxa"/>
            <w:tcBorders>
              <w:top w:val="single" w:color="000000" w:sz="4" w:space="0"/>
              <w:left w:val="single" w:color="000000" w:sz="4" w:space="0"/>
              <w:bottom w:val="single" w:color="000000" w:sz="4" w:space="0"/>
              <w:right w:val="single" w:color="000000" w:sz="4" w:space="0"/>
            </w:tcBorders>
            <w:vAlign w:val="center"/>
          </w:tcPr>
          <w:p w14:paraId="7C7FDBD5">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4.7</w:t>
            </w:r>
          </w:p>
        </w:tc>
        <w:tc>
          <w:tcPr>
            <w:tcW w:w="1135" w:type="dxa"/>
            <w:tcBorders>
              <w:top w:val="single" w:color="000000" w:sz="4" w:space="0"/>
              <w:left w:val="single" w:color="000000" w:sz="4" w:space="0"/>
              <w:bottom w:val="single" w:color="000000" w:sz="4" w:space="0"/>
              <w:right w:val="single" w:color="000000" w:sz="4" w:space="0"/>
            </w:tcBorders>
            <w:vAlign w:val="center"/>
          </w:tcPr>
          <w:p w14:paraId="4C86E23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0D6A0A51">
        <w:tblPrEx>
          <w:tblCellMar>
            <w:top w:w="0" w:type="dxa"/>
            <w:left w:w="108" w:type="dxa"/>
            <w:bottom w:w="0" w:type="dxa"/>
            <w:right w:w="108" w:type="dxa"/>
          </w:tblCellMar>
        </w:tblPrEx>
        <w:trPr>
          <w:trHeight w:val="626"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62ACCB0D">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lang w:val="en-US" w:eastAsia="zh-CN"/>
              </w:rPr>
              <w:t>2</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5080A0CE">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每千人口接续性医疗服务床位数</w:t>
            </w:r>
          </w:p>
        </w:tc>
        <w:tc>
          <w:tcPr>
            <w:tcW w:w="829" w:type="dxa"/>
            <w:tcBorders>
              <w:top w:val="single" w:color="000000" w:sz="4" w:space="0"/>
              <w:left w:val="single" w:color="000000" w:sz="4" w:space="0"/>
              <w:bottom w:val="single" w:color="000000" w:sz="4" w:space="0"/>
              <w:right w:val="single" w:color="000000" w:sz="4" w:space="0"/>
            </w:tcBorders>
            <w:vAlign w:val="center"/>
          </w:tcPr>
          <w:p w14:paraId="4ECCE76D">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张</w:t>
            </w:r>
          </w:p>
        </w:tc>
        <w:tc>
          <w:tcPr>
            <w:tcW w:w="1133" w:type="dxa"/>
            <w:tcBorders>
              <w:top w:val="single" w:color="000000" w:sz="4" w:space="0"/>
              <w:left w:val="single" w:color="000000" w:sz="4" w:space="0"/>
              <w:bottom w:val="single" w:color="000000" w:sz="4" w:space="0"/>
              <w:right w:val="single" w:color="000000" w:sz="4" w:space="0"/>
            </w:tcBorders>
            <w:vAlign w:val="center"/>
          </w:tcPr>
          <w:p w14:paraId="7FDA0F18">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w:t>
            </w:r>
          </w:p>
        </w:tc>
        <w:tc>
          <w:tcPr>
            <w:tcW w:w="1133" w:type="dxa"/>
            <w:tcBorders>
              <w:top w:val="single" w:color="000000" w:sz="4" w:space="0"/>
              <w:left w:val="single" w:color="000000" w:sz="4" w:space="0"/>
              <w:bottom w:val="single" w:color="000000" w:sz="4" w:space="0"/>
              <w:right w:val="single" w:color="000000" w:sz="4" w:space="0"/>
            </w:tcBorders>
            <w:vAlign w:val="center"/>
          </w:tcPr>
          <w:p w14:paraId="0CCA09FD">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w:t>
            </w:r>
          </w:p>
        </w:tc>
        <w:tc>
          <w:tcPr>
            <w:tcW w:w="1135" w:type="dxa"/>
            <w:tcBorders>
              <w:top w:val="single" w:color="000000" w:sz="4" w:space="0"/>
              <w:left w:val="single" w:color="000000" w:sz="4" w:space="0"/>
              <w:bottom w:val="single" w:color="000000" w:sz="4" w:space="0"/>
              <w:right w:val="single" w:color="000000" w:sz="4" w:space="0"/>
            </w:tcBorders>
            <w:vAlign w:val="center"/>
          </w:tcPr>
          <w:p w14:paraId="2EB6C797">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012D36F5">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48AC49E5">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lang w:val="en-US" w:eastAsia="zh-CN"/>
              </w:rPr>
              <w:t>3</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20FD2892">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3岁以下婴幼儿入托率</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9F3934">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8A80B">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17</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D7D75">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20</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BEA69">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13945E4E">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3AFB2BA3">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lang w:val="en-US" w:eastAsia="zh-CN"/>
              </w:rPr>
              <w:t>4</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7FE78FB3">
            <w:pPr>
              <w:widowControl/>
              <w:spacing w:line="240" w:lineRule="exact"/>
              <w:ind w:firstLine="0" w:firstLineChars="0"/>
              <w:textAlignment w:val="center"/>
              <w:rPr>
                <w:rFonts w:hint="eastAsia" w:ascii="方正仿宋_GBK" w:hAnsi="方正仿宋_GBK" w:eastAsia="方正仿宋_GBK" w:cs="方正仿宋_GBK"/>
                <w:dstrike/>
                <w:sz w:val="24"/>
                <w:szCs w:val="24"/>
              </w:rPr>
            </w:pPr>
            <w:r>
              <w:rPr>
                <w:rFonts w:hint="eastAsia" w:ascii="方正仿宋_GBK" w:hAnsi="方正仿宋_GBK" w:eastAsia="方正仿宋_GBK" w:cs="方正仿宋_GBK"/>
                <w:sz w:val="24"/>
                <w:szCs w:val="24"/>
              </w:rPr>
              <w:t>千人口献血率</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D824D">
            <w:pPr>
              <w:widowControl/>
              <w:spacing w:line="240" w:lineRule="exact"/>
              <w:ind w:firstLine="0" w:firstLineChars="0"/>
              <w:jc w:val="center"/>
              <w:textAlignment w:val="center"/>
              <w:rPr>
                <w:rFonts w:hint="eastAsia" w:ascii="方正仿宋_GBK" w:hAnsi="方正仿宋_GBK" w:eastAsia="方正仿宋_GBK" w:cs="方正仿宋_GBK"/>
                <w:dstrike/>
                <w:sz w:val="24"/>
                <w:szCs w:val="24"/>
              </w:rPr>
            </w:pPr>
            <w:r>
              <w:rPr>
                <w:rFonts w:hint="eastAsia" w:ascii="方正仿宋_GBK" w:hAnsi="方正仿宋_GBK" w:eastAsia="方正仿宋_GBK" w:cs="方正仿宋_GBK"/>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7BF75">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11.5</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B281C">
            <w:pPr>
              <w:widowControl/>
              <w:spacing w:line="240" w:lineRule="exac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FF0000"/>
                <w:sz w:val="24"/>
                <w:szCs w:val="24"/>
              </w:rPr>
              <w:t>1</w:t>
            </w:r>
            <w:r>
              <w:rPr>
                <w:rFonts w:hint="eastAsia" w:ascii="方正仿宋_GBK" w:hAnsi="方正仿宋_GBK" w:eastAsia="方正仿宋_GBK" w:cs="方正仿宋_GBK"/>
                <w:color w:val="FF0000"/>
                <w:sz w:val="24"/>
                <w:szCs w:val="24"/>
                <w:lang w:val="en-US" w:eastAsia="zh-CN"/>
              </w:rPr>
              <w:t>3</w:t>
            </w:r>
            <w:r>
              <w:rPr>
                <w:rFonts w:hint="eastAsia" w:ascii="方正仿宋_GBK" w:hAnsi="方正仿宋_GBK" w:eastAsia="方正仿宋_GBK" w:cs="方正仿宋_GBK"/>
                <w:color w:val="FF0000"/>
                <w:sz w:val="24"/>
                <w:szCs w:val="24"/>
              </w:rPr>
              <w:t>左右</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5FD82">
            <w:pPr>
              <w:widowControl/>
              <w:spacing w:line="240" w:lineRule="exact"/>
              <w:ind w:firstLine="0" w:firstLineChars="0"/>
              <w:jc w:val="center"/>
              <w:textAlignment w:val="center"/>
              <w:rPr>
                <w:rFonts w:hint="eastAsia" w:ascii="方正仿宋_GBK" w:hAnsi="方正仿宋_GBK" w:eastAsia="方正仿宋_GBK" w:cs="方正仿宋_GBK"/>
                <w:dstrike/>
                <w:sz w:val="24"/>
                <w:szCs w:val="24"/>
              </w:rPr>
            </w:pPr>
            <w:r>
              <w:rPr>
                <w:rFonts w:hint="eastAsia" w:ascii="方正仿宋_GBK" w:hAnsi="方正仿宋_GBK" w:eastAsia="方正仿宋_GBK" w:cs="方正仿宋_GBK"/>
                <w:sz w:val="24"/>
                <w:szCs w:val="24"/>
              </w:rPr>
              <w:t>预期性</w:t>
            </w:r>
          </w:p>
        </w:tc>
      </w:tr>
      <w:tr w14:paraId="766E767D">
        <w:tblPrEx>
          <w:tblCellMar>
            <w:top w:w="0" w:type="dxa"/>
            <w:left w:w="108" w:type="dxa"/>
            <w:bottom w:w="0" w:type="dxa"/>
            <w:right w:w="108" w:type="dxa"/>
          </w:tblCellMar>
        </w:tblPrEx>
        <w:trPr>
          <w:trHeight w:val="626"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3F1AF264">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lang w:val="en-US" w:eastAsia="zh-CN"/>
              </w:rPr>
              <w:t>5</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1947A492">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zh-CN"/>
              </w:rPr>
              <w:t>严重精神障碍患者规范管理率</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BA7F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9D151">
            <w:pPr>
              <w:widowControl/>
              <w:spacing w:line="240" w:lineRule="exact"/>
              <w:ind w:firstLine="0" w:firstLineChars="0"/>
              <w:jc w:val="center"/>
              <w:textAlignment w:val="center"/>
              <w:rPr>
                <w:rFonts w:hint="default" w:ascii="方正仿宋_GBK" w:hAnsi="方正仿宋_GBK" w:eastAsia="方正仿宋_GBK" w:cs="方正仿宋_GBK"/>
                <w:bCs/>
                <w:sz w:val="24"/>
                <w:szCs w:val="24"/>
                <w:lang w:val="en-US" w:eastAsia="zh-CN"/>
              </w:rPr>
            </w:pPr>
            <w:r>
              <w:rPr>
                <w:rFonts w:hint="eastAsia" w:ascii="方正仿宋_GBK" w:hAnsi="方正仿宋_GBK" w:eastAsia="方正仿宋_GBK" w:cs="方正仿宋_GBK"/>
                <w:bCs/>
                <w:sz w:val="24"/>
                <w:szCs w:val="24"/>
                <w:lang w:val="en-US" w:eastAsia="zh-CN"/>
              </w:rPr>
              <w:t>97.64</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56D2C">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保持稳定</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D3197">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40CE7417">
        <w:tblPrEx>
          <w:tblCellMar>
            <w:top w:w="0" w:type="dxa"/>
            <w:left w:w="108" w:type="dxa"/>
            <w:bottom w:w="0" w:type="dxa"/>
            <w:right w:w="108" w:type="dxa"/>
          </w:tblCellMar>
        </w:tblPrEx>
        <w:trPr>
          <w:trHeight w:val="334"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13A033AF">
            <w:pPr>
              <w:widowControl/>
              <w:spacing w:line="240" w:lineRule="exact"/>
              <w:ind w:firstLine="0" w:firstLineChars="0"/>
              <w:jc w:val="center"/>
              <w:textAlignment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lang w:val="en-US" w:eastAsia="zh-CN"/>
              </w:rPr>
              <w:t>6</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7AF33E06">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zh-CN"/>
              </w:rPr>
              <w:t>县域就诊率</w:t>
            </w:r>
          </w:p>
        </w:tc>
        <w:tc>
          <w:tcPr>
            <w:tcW w:w="829" w:type="dxa"/>
            <w:tcBorders>
              <w:top w:val="single" w:color="000000" w:sz="4" w:space="0"/>
              <w:left w:val="single" w:color="000000" w:sz="4" w:space="0"/>
              <w:bottom w:val="single" w:color="000000" w:sz="4" w:space="0"/>
              <w:right w:val="single" w:color="000000" w:sz="4" w:space="0"/>
            </w:tcBorders>
            <w:vAlign w:val="center"/>
          </w:tcPr>
          <w:p w14:paraId="3FDCA853">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362AC">
            <w:pPr>
              <w:widowControl/>
              <w:spacing w:line="240" w:lineRule="exact"/>
              <w:ind w:firstLine="0" w:firstLineChars="0"/>
              <w:jc w:val="center"/>
              <w:textAlignment w:val="center"/>
              <w:rPr>
                <w:rFonts w:hint="default" w:ascii="方正仿宋_GBK" w:hAnsi="方正仿宋_GBK" w:eastAsia="方正仿宋_GBK" w:cs="方正仿宋_GBK"/>
                <w:bCs/>
                <w:sz w:val="24"/>
                <w:szCs w:val="24"/>
                <w:lang w:val="en-US"/>
              </w:rPr>
            </w:pPr>
            <w:r>
              <w:rPr>
                <w:rFonts w:hint="eastAsia" w:ascii="方正仿宋_GBK" w:hAnsi="方正仿宋_GBK" w:eastAsia="方正仿宋_GBK" w:cs="方正仿宋_GBK"/>
                <w:sz w:val="24"/>
                <w:szCs w:val="24"/>
                <w:lang w:val="en-US" w:eastAsia="zh-CN"/>
              </w:rPr>
              <w:t>98.78</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C0187">
            <w:pPr>
              <w:widowControl/>
              <w:spacing w:line="240" w:lineRule="exac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≥93</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32129">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1069C946">
        <w:tblPrEx>
          <w:tblCellMar>
            <w:top w:w="0" w:type="dxa"/>
            <w:left w:w="108" w:type="dxa"/>
            <w:bottom w:w="0" w:type="dxa"/>
            <w:right w:w="108" w:type="dxa"/>
          </w:tblCellMar>
        </w:tblPrEx>
        <w:trPr>
          <w:trHeight w:val="626"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47E21978">
            <w:pPr>
              <w:widowControl/>
              <w:spacing w:line="240" w:lineRule="exact"/>
              <w:ind w:firstLine="0" w:firstLineChars="0"/>
              <w:jc w:val="center"/>
              <w:textAlignment w:val="center"/>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sz w:val="24"/>
                <w:szCs w:val="24"/>
                <w:lang w:val="en-US" w:eastAsia="zh-CN"/>
              </w:rPr>
              <w:t>7</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2102D039">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医疗卫生机构人工智能场景应用覆盖率</w:t>
            </w:r>
          </w:p>
        </w:tc>
        <w:tc>
          <w:tcPr>
            <w:tcW w:w="829" w:type="dxa"/>
            <w:tcBorders>
              <w:top w:val="single" w:color="000000" w:sz="4" w:space="0"/>
              <w:left w:val="single" w:color="000000" w:sz="4" w:space="0"/>
              <w:bottom w:val="single" w:color="000000" w:sz="4" w:space="0"/>
              <w:right w:val="single" w:color="000000" w:sz="4" w:space="0"/>
            </w:tcBorders>
            <w:vAlign w:val="center"/>
          </w:tcPr>
          <w:p w14:paraId="534E40FD">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4AF78">
            <w:pPr>
              <w:widowControl/>
              <w:spacing w:line="240" w:lineRule="exact"/>
              <w:ind w:firstLine="0" w:firstLineChars="0"/>
              <w:jc w:val="center"/>
              <w:textAlignment w:val="center"/>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sz w:val="24"/>
                <w:szCs w:val="24"/>
                <w:lang w:eastAsia="zh-CN"/>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31CE1">
            <w:pPr>
              <w:widowControl/>
              <w:spacing w:line="240" w:lineRule="exac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100</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386B8">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r w14:paraId="4077C433">
        <w:tblPrEx>
          <w:tblCellMar>
            <w:top w:w="0" w:type="dxa"/>
            <w:left w:w="108" w:type="dxa"/>
            <w:bottom w:w="0" w:type="dxa"/>
            <w:right w:w="108" w:type="dxa"/>
          </w:tblCellMar>
        </w:tblPrEx>
        <w:trPr>
          <w:trHeight w:val="379" w:hRule="atLeast"/>
          <w:jc w:val="center"/>
        </w:trPr>
        <w:tc>
          <w:tcPr>
            <w:tcW w:w="796" w:type="dxa"/>
            <w:tcBorders>
              <w:top w:val="single" w:color="000000" w:sz="4" w:space="0"/>
              <w:left w:val="single" w:color="000000" w:sz="4" w:space="0"/>
              <w:bottom w:val="single" w:color="000000" w:sz="4" w:space="0"/>
              <w:right w:val="single" w:color="000000" w:sz="4" w:space="0"/>
            </w:tcBorders>
            <w:vAlign w:val="center"/>
          </w:tcPr>
          <w:p w14:paraId="59ED4155">
            <w:pPr>
              <w:widowControl/>
              <w:spacing w:line="240" w:lineRule="exact"/>
              <w:ind w:firstLine="0" w:firstLineChars="0"/>
              <w:jc w:val="center"/>
              <w:textAlignment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18</w:t>
            </w:r>
          </w:p>
        </w:tc>
        <w:tc>
          <w:tcPr>
            <w:tcW w:w="3493" w:type="dxa"/>
            <w:gridSpan w:val="2"/>
            <w:tcBorders>
              <w:top w:val="single" w:color="000000" w:sz="4" w:space="0"/>
              <w:left w:val="single" w:color="000000" w:sz="4" w:space="0"/>
              <w:bottom w:val="single" w:color="000000" w:sz="4" w:space="0"/>
              <w:right w:val="single" w:color="000000" w:sz="4" w:space="0"/>
            </w:tcBorders>
            <w:vAlign w:val="center"/>
          </w:tcPr>
          <w:p w14:paraId="20C66AB1">
            <w:pPr>
              <w:widowControl/>
              <w:spacing w:line="240" w:lineRule="exact"/>
              <w:ind w:firstLine="0" w:firstLineChars="0"/>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个人卫生支出占总费用的比重</w:t>
            </w:r>
          </w:p>
        </w:tc>
        <w:tc>
          <w:tcPr>
            <w:tcW w:w="8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E7CEE">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DD956">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CFB59">
            <w:pPr>
              <w:widowControl/>
              <w:spacing w:line="240" w:lineRule="exact"/>
              <w:ind w:firstLine="0" w:firstLineChars="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24左右</w:t>
            </w:r>
          </w:p>
        </w:tc>
        <w:tc>
          <w:tcPr>
            <w:tcW w:w="11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16B9B">
            <w:pPr>
              <w:widowControl/>
              <w:spacing w:line="240" w:lineRule="exact"/>
              <w:ind w:firstLine="0" w:firstLineChars="0"/>
              <w:jc w:val="center"/>
              <w:textAlignment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预期性</w:t>
            </w:r>
          </w:p>
        </w:tc>
      </w:tr>
    </w:tbl>
    <w:p w14:paraId="5BC5B0BF">
      <w:pPr>
        <w:autoSpaceDE/>
        <w:autoSpaceDN/>
        <w:ind w:firstLine="480"/>
        <w:rPr>
          <w:rFonts w:hint="eastAsia" w:ascii="方正楷体_GBK" w:hAnsi="方正楷体_GBK" w:eastAsia="方正楷体_GBK" w:cs="方正楷体_GBK"/>
          <w:snapToGrid w:val="0"/>
          <w:sz w:val="24"/>
        </w:rPr>
      </w:pPr>
      <w:r>
        <w:rPr>
          <w:rFonts w:hint="eastAsia" w:ascii="方正楷体_GBK" w:hAnsi="方正楷体_GBK" w:eastAsia="方正楷体_GBK" w:cs="方正楷体_GBK"/>
          <w:snapToGrid w:val="0"/>
          <w:sz w:val="24"/>
        </w:rPr>
        <w:t>注：接续性医疗服务主要包括康复、护理、安宁疗护等。</w:t>
      </w:r>
    </w:p>
    <w:p w14:paraId="23DE596C">
      <w:pPr>
        <w:keepNext w:val="0"/>
        <w:keepLines w:val="0"/>
        <w:pageBreakBefore w:val="0"/>
        <w:numPr>
          <w:ilvl w:val="255"/>
          <w:numId w:val="0"/>
        </w:numPr>
        <w:kinsoku/>
        <w:wordWrap/>
        <w:overflowPunct w:val="0"/>
        <w:topLinePunct w:val="0"/>
        <w:autoSpaceDE/>
        <w:autoSpaceDN/>
        <w:bidi w:val="0"/>
        <w:spacing w:line="540" w:lineRule="exact"/>
        <w:ind w:firstLine="640" w:firstLineChars="200"/>
        <w:textAlignment w:val="auto"/>
        <w:rPr>
          <w:rFonts w:ascii="Times New Roman" w:hAnsi="Times New Roman" w:eastAsia="黑体" w:cs="Times New Roman"/>
          <w:color w:val="000000" w:themeColor="text1"/>
          <w:sz w:val="32"/>
          <w:szCs w:val="32"/>
        </w:rPr>
      </w:pPr>
      <w:r>
        <w:rPr>
          <w:rFonts w:hint="eastAsia" w:ascii="Times New Roman" w:hAnsi="黑体" w:eastAsia="黑体" w:cs="Times New Roman"/>
          <w:color w:val="000000" w:themeColor="text1"/>
          <w:sz w:val="32"/>
          <w:szCs w:val="32"/>
          <w:lang w:eastAsia="zh-CN"/>
        </w:rPr>
        <w:t>二</w:t>
      </w:r>
      <w:r>
        <w:rPr>
          <w:rFonts w:hint="eastAsia" w:ascii="Times New Roman" w:hAnsi="黑体" w:eastAsia="黑体" w:cs="Times New Roman"/>
          <w:color w:val="000000" w:themeColor="text1"/>
          <w:sz w:val="32"/>
          <w:szCs w:val="32"/>
        </w:rPr>
        <w:t>、重点任务</w:t>
      </w:r>
    </w:p>
    <w:p w14:paraId="0F4B8DDB">
      <w:pPr>
        <w:keepNext w:val="0"/>
        <w:keepLines w:val="0"/>
        <w:pageBreakBefore w:val="0"/>
        <w:kinsoku/>
        <w:wordWrap/>
        <w:overflowPunct w:val="0"/>
        <w:topLinePunct w:val="0"/>
        <w:autoSpaceDE/>
        <w:autoSpaceDN/>
        <w:bidi w:val="0"/>
        <w:spacing w:line="540" w:lineRule="exact"/>
        <w:ind w:firstLine="640" w:firstLineChars="200"/>
        <w:textAlignment w:val="auto"/>
        <w:rPr>
          <w:rFonts w:hint="eastAsia" w:ascii="Times New Roman" w:hAnsi="楷体" w:eastAsia="方正楷体_GBK" w:cs="Times New Roman"/>
          <w:bCs/>
          <w:color w:val="000000" w:themeColor="text1"/>
          <w:sz w:val="32"/>
          <w:szCs w:val="32"/>
          <w:lang w:eastAsia="zh-CN"/>
        </w:rPr>
      </w:pPr>
      <w:r>
        <w:rPr>
          <w:rFonts w:hint="eastAsia" w:ascii="Times New Roman" w:hAnsi="楷体" w:eastAsia="方正楷体_GBK" w:cs="Times New Roman"/>
          <w:bCs/>
          <w:color w:val="000000" w:themeColor="text1"/>
          <w:sz w:val="32"/>
          <w:szCs w:val="32"/>
        </w:rPr>
        <w:t>（一）</w:t>
      </w:r>
      <w:r>
        <w:rPr>
          <w:rFonts w:hint="eastAsia" w:ascii="Times New Roman" w:hAnsi="楷体" w:eastAsia="方正楷体_GBK" w:cs="Times New Roman"/>
          <w:bCs/>
          <w:color w:val="000000" w:themeColor="text1"/>
          <w:sz w:val="32"/>
          <w:szCs w:val="32"/>
          <w:lang w:eastAsia="zh-CN"/>
        </w:rPr>
        <w:t>聚力融合协同，提升公共卫生能力</w:t>
      </w:r>
    </w:p>
    <w:p w14:paraId="626E6122">
      <w:pPr>
        <w:keepNext w:val="0"/>
        <w:keepLines w:val="0"/>
        <w:pageBreakBefore w:val="0"/>
        <w:kinsoku/>
        <w:wordWrap/>
        <w:topLinePunct w:val="0"/>
        <w:autoSpaceDE/>
        <w:autoSpaceDN/>
        <w:bidi w:val="0"/>
        <w:spacing w:line="540" w:lineRule="exact"/>
        <w:ind w:firstLine="640" w:firstLineChars="200"/>
        <w:contextualSpacing/>
        <w:rPr>
          <w:rFonts w:hint="eastAsia" w:ascii="方正仿宋_GBK" w:hAnsi="方正仿宋_GBK" w:eastAsia="方正仿宋_GBK" w:cs="方正仿宋_GBK"/>
          <w:sz w:val="32"/>
          <w:lang w:eastAsia="zh-CN"/>
        </w:rPr>
      </w:pPr>
      <w:r>
        <w:rPr>
          <w:rFonts w:hint="eastAsia" w:ascii="方正仿宋_GBK" w:hAnsi="方正仿宋_GBK" w:eastAsia="方正仿宋_GBK" w:cs="方正仿宋_GBK"/>
          <w:color w:val="000000" w:themeColor="text1"/>
          <w:sz w:val="32"/>
          <w:szCs w:val="32"/>
        </w:rPr>
        <w:t>1</w:t>
      </w:r>
      <w:r>
        <w:rPr>
          <w:rFonts w:hint="eastAsia" w:ascii="方正仿宋_GBK" w:hAnsi="方正仿宋_GBK" w:eastAsia="方正仿宋_GBK" w:cs="方正仿宋_GBK"/>
          <w:color w:val="000000" w:themeColor="text1"/>
          <w:sz w:val="32"/>
          <w:szCs w:val="32"/>
          <w:lang w:val="en-US" w:eastAsia="zh-CN"/>
        </w:rPr>
        <w:t>.</w:t>
      </w:r>
      <w:r>
        <w:rPr>
          <w:rFonts w:hint="eastAsia" w:ascii="方正仿宋_GBK" w:hAnsi="方正仿宋_GBK" w:eastAsia="方正仿宋_GBK" w:cs="方正仿宋_GBK"/>
          <w:sz w:val="32"/>
        </w:rPr>
        <w:t>完善疾病预防控制体系。持续深化疾控体系改革，以省区域公共卫生中心建设为抓手，建强建优市</w:t>
      </w:r>
      <w:r>
        <w:rPr>
          <w:rFonts w:hint="eastAsia" w:ascii="方正仿宋_GBK" w:hAnsi="方正仿宋_GBK" w:eastAsia="方正仿宋_GBK" w:cs="方正仿宋_GBK"/>
          <w:sz w:val="32"/>
          <w:lang w:eastAsia="zh-CN"/>
        </w:rPr>
        <w:t>疾控中心</w:t>
      </w:r>
      <w:r>
        <w:rPr>
          <w:rFonts w:hint="eastAsia" w:ascii="方正仿宋_GBK" w:hAnsi="方正仿宋_GBK" w:eastAsia="方正仿宋_GBK" w:cs="方正仿宋_GBK"/>
          <w:sz w:val="32"/>
        </w:rPr>
        <w:t>，完善县级疾控</w:t>
      </w:r>
      <w:r>
        <w:rPr>
          <w:rFonts w:hint="eastAsia" w:ascii="方正仿宋_GBK" w:hAnsi="方正仿宋_GBK" w:eastAsia="方正仿宋_GBK" w:cs="方正仿宋_GBK"/>
          <w:sz w:val="32"/>
          <w:lang w:eastAsia="zh-CN"/>
        </w:rPr>
        <w:t>机构</w:t>
      </w:r>
      <w:r>
        <w:rPr>
          <w:rFonts w:hint="eastAsia" w:ascii="方正仿宋_GBK" w:hAnsi="方正仿宋_GBK" w:eastAsia="方正仿宋_GBK" w:cs="方正仿宋_GBK"/>
          <w:sz w:val="32"/>
        </w:rPr>
        <w:t>运行机制，全面提升基层疾控</w:t>
      </w:r>
      <w:r>
        <w:rPr>
          <w:rFonts w:hint="eastAsia" w:ascii="方正仿宋_GBK" w:hAnsi="方正仿宋_GBK" w:eastAsia="方正仿宋_GBK" w:cs="方正仿宋_GBK"/>
          <w:sz w:val="32"/>
          <w:lang w:eastAsia="zh-CN"/>
        </w:rPr>
        <w:t>能力</w:t>
      </w:r>
      <w:r>
        <w:rPr>
          <w:rFonts w:hint="eastAsia" w:ascii="方正仿宋_GBK" w:hAnsi="方正仿宋_GBK" w:eastAsia="方正仿宋_GBK" w:cs="方正仿宋_GBK"/>
          <w:sz w:val="32"/>
        </w:rPr>
        <w:t>。推进市域疾控联合体建设试点，促进资源共享、信息互通、优势互补、能力共建、工作协同。</w:t>
      </w:r>
      <w:r>
        <w:rPr>
          <w:rFonts w:hint="eastAsia" w:ascii="方正仿宋_GBK" w:hAnsi="方正仿宋_GBK" w:eastAsia="方正仿宋_GBK" w:cs="方正仿宋_GBK"/>
          <w:sz w:val="32"/>
          <w:lang w:eastAsia="zh-CN"/>
        </w:rPr>
        <w:t>进一步推进</w:t>
      </w:r>
      <w:r>
        <w:rPr>
          <w:rFonts w:hint="eastAsia" w:ascii="方正仿宋_GBK" w:hAnsi="方正仿宋_GBK" w:eastAsia="方正仿宋_GBK" w:cs="方正仿宋_GBK"/>
          <w:sz w:val="32"/>
        </w:rPr>
        <w:t>医防协同医防融合，</w:t>
      </w:r>
      <w:r>
        <w:rPr>
          <w:rFonts w:hint="eastAsia" w:ascii="方正仿宋_GBK" w:hAnsi="方正仿宋_GBK" w:eastAsia="方正仿宋_GBK" w:cs="方正仿宋_GBK"/>
          <w:sz w:val="32"/>
          <w:lang w:eastAsia="zh-CN"/>
        </w:rPr>
        <w:t>督促</w:t>
      </w:r>
      <w:r>
        <w:rPr>
          <w:rFonts w:hint="eastAsia" w:ascii="方正仿宋_GBK" w:hAnsi="方正仿宋_GBK" w:eastAsia="方正仿宋_GBK" w:cs="方正仿宋_GBK"/>
          <w:sz w:val="32"/>
        </w:rPr>
        <w:t>医疗机构</w:t>
      </w:r>
      <w:r>
        <w:rPr>
          <w:rFonts w:hint="eastAsia" w:ascii="方正仿宋_GBK" w:hAnsi="方正仿宋_GBK" w:eastAsia="方正仿宋_GBK" w:cs="方正仿宋_GBK"/>
          <w:sz w:val="32"/>
          <w:lang w:eastAsia="zh-CN"/>
        </w:rPr>
        <w:t>履行</w:t>
      </w:r>
      <w:r>
        <w:rPr>
          <w:rFonts w:hint="eastAsia" w:ascii="方正仿宋_GBK" w:hAnsi="方正仿宋_GBK" w:eastAsia="方正仿宋_GBK" w:cs="方正仿宋_GBK"/>
          <w:sz w:val="32"/>
        </w:rPr>
        <w:t>公共卫生</w:t>
      </w:r>
      <w:r>
        <w:rPr>
          <w:rFonts w:hint="eastAsia" w:ascii="方正仿宋_GBK" w:hAnsi="方正仿宋_GBK" w:eastAsia="方正仿宋_GBK" w:cs="方正仿宋_GBK"/>
          <w:sz w:val="32"/>
          <w:lang w:eastAsia="zh-CN"/>
        </w:rPr>
        <w:t>责任</w:t>
      </w:r>
      <w:r>
        <w:rPr>
          <w:rFonts w:hint="eastAsia" w:ascii="方正仿宋_GBK" w:hAnsi="方正仿宋_GBK" w:eastAsia="方正仿宋_GBK" w:cs="方正仿宋_GBK"/>
          <w:sz w:val="32"/>
        </w:rPr>
        <w:t>。</w:t>
      </w:r>
    </w:p>
    <w:p w14:paraId="6E3B4F7B">
      <w:pPr>
        <w:keepNext w:val="0"/>
        <w:keepLines w:val="0"/>
        <w:pageBreakBefore w:val="0"/>
        <w:kinsoku/>
        <w:wordWrap/>
        <w:overflowPunct w:val="0"/>
        <w:topLinePunct w:val="0"/>
        <w:autoSpaceDE/>
        <w:autoSpaceDN/>
        <w:bidi w:val="0"/>
        <w:spacing w:line="540" w:lineRule="exact"/>
        <w:ind w:firstLine="640" w:firstLineChars="200"/>
        <w:rPr>
          <w:rFonts w:hint="eastAsia" w:ascii="方正仿宋_GBK" w:hAnsi="方正仿宋_GBK" w:eastAsia="方正仿宋_GBK" w:cs="方正仿宋_GBK"/>
          <w:sz w:val="32"/>
        </w:rPr>
      </w:pPr>
      <w:r>
        <w:rPr>
          <w:rFonts w:hint="eastAsia" w:ascii="Times New Roman" w:hAnsi="方正仿宋_GBK" w:eastAsia="方正仿宋_GBK" w:cs="Times New Roman"/>
          <w:color w:val="000000" w:themeColor="text1"/>
          <w:sz w:val="32"/>
          <w:szCs w:val="32"/>
        </w:rPr>
        <w:t>2</w:t>
      </w:r>
      <w:r>
        <w:rPr>
          <w:rFonts w:hint="eastAsia" w:ascii="方正仿宋_GBK" w:hAnsi="方正仿宋_GBK" w:eastAsia="方正仿宋_GBK" w:cs="方正仿宋_GBK"/>
          <w:sz w:val="32"/>
        </w:rPr>
        <w:t>.突出抓好重点传染病防制。聚焦“一老一小”重点人群，开展流感、新冠、百日咳等呼吸道传染病防控。强化艾滋病、结核病、病毒性肝炎等重大传染病防控。进一步控制发热伴血小板减少综合征、狂犬病、布病等人畜共患病和自然疫源性疾病，维持麻疹、脊髓灰质炎等高水平免疫屏障。持续做好埃博拉病毒病、中东呼吸综合征等传染病防输入工作。建立完善传染病疫情联防联控工作协调机制，落实属地、部门、单位和个人责任。加强突发公共卫生事件风险评估，及时发布健康提醒。针对临床表现、危险因素、流行特征、防治措施等具有一定共性的传染病，探索构建防、筛、管、治一体管理</w:t>
      </w:r>
      <w:r>
        <w:rPr>
          <w:rFonts w:hint="eastAsia" w:ascii="方正仿宋_GBK" w:hAnsi="方正仿宋_GBK" w:eastAsia="方正仿宋_GBK" w:cs="方正仿宋_GBK"/>
          <w:sz w:val="32"/>
          <w:lang w:eastAsia="zh-CN"/>
        </w:rPr>
        <w:t>模式</w:t>
      </w:r>
      <w:r>
        <w:rPr>
          <w:rFonts w:hint="eastAsia" w:ascii="方正仿宋_GBK" w:hAnsi="方正仿宋_GBK" w:eastAsia="方正仿宋_GBK" w:cs="方正仿宋_GBK"/>
          <w:sz w:val="32"/>
        </w:rPr>
        <w:t>。</w:t>
      </w:r>
    </w:p>
    <w:p w14:paraId="17938A09">
      <w:pPr>
        <w:keepNext w:val="0"/>
        <w:keepLines w:val="0"/>
        <w:pageBreakBefore w:val="0"/>
        <w:kinsoku/>
        <w:wordWrap/>
        <w:topLinePunct w:val="0"/>
        <w:autoSpaceDE/>
        <w:autoSpaceDN/>
        <w:bidi w:val="0"/>
        <w:spacing w:line="540" w:lineRule="exact"/>
        <w:ind w:firstLine="640" w:firstLineChars="200"/>
        <w:rPr>
          <w:rFonts w:hint="eastAsia" w:ascii="方正仿宋_GBK" w:hAnsi="方正仿宋_GBK" w:eastAsia="方正仿宋_GBK" w:cs="方正仿宋_GBK"/>
          <w:sz w:val="32"/>
        </w:rPr>
      </w:pPr>
      <w:r>
        <w:rPr>
          <w:rFonts w:hint="eastAsia" w:ascii="Times New Roman" w:hAnsi="方正仿宋_GBK" w:eastAsia="方正仿宋_GBK" w:cs="Times New Roman"/>
          <w:color w:val="000000" w:themeColor="text1"/>
          <w:sz w:val="32"/>
          <w:szCs w:val="32"/>
          <w:lang w:val="en-US" w:eastAsia="zh-CN"/>
        </w:rPr>
        <w:t>3.</w:t>
      </w:r>
      <w:r>
        <w:rPr>
          <w:rFonts w:hint="eastAsia" w:ascii="Times New Roman" w:hAnsi="Times New Roman" w:eastAsia="仿宋_GB2312"/>
          <w:sz w:val="32"/>
        </w:rPr>
        <w:t>提高公共卫生干预水平。</w:t>
      </w:r>
      <w:r>
        <w:rPr>
          <w:rFonts w:hint="eastAsia" w:ascii="方正仿宋_GBK" w:hAnsi="方正仿宋_GBK" w:eastAsia="方正仿宋_GBK" w:cs="方正仿宋_GBK"/>
          <w:sz w:val="32"/>
        </w:rPr>
        <w:t>规范实施免疫规划，强化疫苗预防接种全流程管理，确保疫苗接种安全。完善预防接种服务网络，持续优化预防接种单位管理，加强电子预防接种证建设和应用，提升预防接种数智化服务能力，适龄儿童免疫规划疫苗接种率以乡（镇、街道）为单位稳定在</w:t>
      </w:r>
      <w:commentRangeStart w:id="0"/>
      <w:r>
        <w:rPr>
          <w:rFonts w:hint="eastAsia" w:ascii="方正仿宋_GBK" w:hAnsi="方正仿宋_GBK" w:eastAsia="方正仿宋_GBK" w:cs="方正仿宋_GBK"/>
          <w:sz w:val="32"/>
        </w:rPr>
        <w:t>9</w:t>
      </w:r>
      <w:r>
        <w:rPr>
          <w:rFonts w:hint="eastAsia" w:ascii="方正仿宋_GBK" w:hAnsi="方正仿宋_GBK" w:eastAsia="方正仿宋_GBK" w:cs="方正仿宋_GBK"/>
          <w:sz w:val="32"/>
          <w:lang w:val="en-US" w:eastAsia="zh-CN"/>
        </w:rPr>
        <w:t>5</w:t>
      </w:r>
      <w:r>
        <w:rPr>
          <w:rFonts w:hint="eastAsia" w:ascii="方正仿宋_GBK" w:hAnsi="方正仿宋_GBK" w:eastAsia="方正仿宋_GBK" w:cs="方正仿宋_GBK"/>
          <w:sz w:val="32"/>
        </w:rPr>
        <w:t>%以上</w:t>
      </w:r>
      <w:commentRangeEnd w:id="0"/>
      <w:r>
        <w:rPr>
          <w:rFonts w:hint="eastAsia" w:ascii="方正仿宋_GBK" w:hAnsi="方正仿宋_GBK" w:eastAsia="方正仿宋_GBK" w:cs="方正仿宋_GBK"/>
          <w:sz w:val="32"/>
        </w:rPr>
        <w:commentReference w:id="0"/>
      </w:r>
      <w:r>
        <w:rPr>
          <w:rFonts w:hint="eastAsia" w:ascii="方正仿宋_GBK" w:hAnsi="方正仿宋_GBK" w:eastAsia="方正仿宋_GBK" w:cs="方正仿宋_GBK"/>
          <w:sz w:val="32"/>
        </w:rPr>
        <w:t>。加强学校卫生和公共卫生监测工作，规范开展重点场所消毒质量监测、城乡饮用水监测等工作。深入推进学生常见病干预六大行动。巩固血寄地防治成果，推进消除丙肝公共卫生危害工作。</w:t>
      </w:r>
    </w:p>
    <w:p w14:paraId="122346CD">
      <w:pPr>
        <w:keepNext w:val="0"/>
        <w:keepLines w:val="0"/>
        <w:pageBreakBefore w:val="0"/>
        <w:kinsoku/>
        <w:wordWrap/>
        <w:topLinePunct w:val="0"/>
        <w:autoSpaceDE/>
        <w:autoSpaceDN/>
        <w:bidi w:val="0"/>
        <w:spacing w:line="540" w:lineRule="exact"/>
        <w:ind w:firstLine="640" w:firstLineChars="200"/>
        <w:rPr>
          <w:rFonts w:hint="eastAsia" w:ascii="Times New Roman" w:hAnsi="Times New Roman" w:eastAsia="仿宋_GB2312" w:cs="宋体"/>
          <w:sz w:val="32"/>
        </w:rPr>
      </w:pPr>
      <w:r>
        <w:rPr>
          <w:rFonts w:hint="eastAsia" w:ascii="Times New Roman" w:hAnsi="Times New Roman" w:eastAsia="仿宋_GB2312"/>
          <w:sz w:val="32"/>
        </w:rPr>
        <w:t>4.</w:t>
      </w:r>
      <w:r>
        <w:rPr>
          <w:rFonts w:hint="eastAsia" w:ascii="方正仿宋_GBK" w:hAnsi="方正仿宋_GBK" w:eastAsia="方正仿宋_GBK" w:cs="方正仿宋_GBK"/>
          <w:sz w:val="32"/>
        </w:rPr>
        <w:t>提升突发公共卫生事件应对能力。健全传染病多部门协同监测、信息共享工作机制，建设智慧化多点触发监测预警体系，提升传染病早</w:t>
      </w:r>
      <w:r>
        <w:rPr>
          <w:rFonts w:hint="eastAsia" w:ascii="方正仿宋_GBK" w:hAnsi="方正仿宋_GBK" w:eastAsia="方正仿宋_GBK" w:cs="方正仿宋_GBK"/>
          <w:sz w:val="32"/>
          <w:lang w:eastAsia="zh-CN"/>
        </w:rPr>
        <w:t>期</w:t>
      </w:r>
      <w:r>
        <w:rPr>
          <w:rFonts w:hint="eastAsia" w:ascii="方正仿宋_GBK" w:hAnsi="方正仿宋_GBK" w:eastAsia="方正仿宋_GBK" w:cs="方正仿宋_GBK"/>
          <w:sz w:val="32"/>
        </w:rPr>
        <w:t>识别与风险预警能力。深化区域、专业、部门间联防联控机制，加强防控应急物资储备。构建高效实用的突发公共卫生事件应急预案体系，提升实用性和指导性。巩固市、县（区）传染病应急小分队建设成果，常态化开展培训演练，强化传染病现场应急处置能力。</w:t>
      </w:r>
    </w:p>
    <w:p w14:paraId="56A4BAC3">
      <w:pPr>
        <w:keepNext w:val="0"/>
        <w:keepLines w:val="0"/>
        <w:pageBreakBefore w:val="0"/>
        <w:kinsoku/>
        <w:wordWrap/>
        <w:overflowPunct w:val="0"/>
        <w:topLinePunct w:val="0"/>
        <w:autoSpaceDE/>
        <w:autoSpaceDN/>
        <w:bidi w:val="0"/>
        <w:spacing w:line="540" w:lineRule="exact"/>
        <w:ind w:firstLine="640" w:firstLineChars="200"/>
        <w:textAlignment w:val="auto"/>
        <w:rPr>
          <w:rFonts w:hint="eastAsia" w:ascii="Times New Roman" w:hAnsi="楷体" w:eastAsia="方正楷体_GBK" w:cs="Times New Roman"/>
          <w:bCs/>
          <w:color w:val="FF0000"/>
          <w:sz w:val="32"/>
          <w:szCs w:val="32"/>
          <w:lang w:eastAsia="zh-CN"/>
        </w:rPr>
      </w:pPr>
      <w:r>
        <w:rPr>
          <w:rFonts w:hint="eastAsia" w:ascii="Times New Roman" w:hAnsi="楷体" w:eastAsia="方正楷体_GBK" w:cs="Times New Roman"/>
          <w:bCs/>
          <w:color w:val="000000" w:themeColor="text1"/>
          <w:sz w:val="32"/>
          <w:szCs w:val="32"/>
          <w:lang w:eastAsia="zh-CN"/>
        </w:rPr>
        <w:t>（二）聚力优质高效，提升医疗服务能力</w:t>
      </w:r>
    </w:p>
    <w:p w14:paraId="04750B0F">
      <w:pPr>
        <w:keepNext w:val="0"/>
        <w:keepLines w:val="0"/>
        <w:pageBreakBefore w:val="0"/>
        <w:kinsoku/>
        <w:wordWrap/>
        <w:topLinePunct w:val="0"/>
        <w:autoSpaceDE/>
        <w:autoSpaceDN/>
        <w:bidi w:val="0"/>
        <w:spacing w:line="540" w:lineRule="exact"/>
        <w:ind w:firstLine="640" w:firstLineChars="200"/>
        <w:rPr>
          <w:rFonts w:hint="eastAsia" w:ascii="方正仿宋_GBK" w:hAnsi="方正仿宋_GBK" w:eastAsia="方正仿宋_GBK" w:cs="方正仿宋_GBK"/>
          <w:sz w:val="32"/>
        </w:rPr>
      </w:pPr>
      <w:r>
        <w:rPr>
          <w:rFonts w:hint="eastAsia" w:ascii="方正仿宋_GBK" w:hAnsi="方正仿宋_GBK" w:eastAsia="方正仿宋_GBK" w:cs="方正仿宋_GBK"/>
          <w:sz w:val="32"/>
          <w:lang w:val="en-US" w:eastAsia="zh-CN"/>
        </w:rPr>
        <w:t>1.</w:t>
      </w:r>
      <w:r>
        <w:rPr>
          <w:rFonts w:hint="eastAsia" w:ascii="方正仿宋_GBK" w:hAnsi="方正仿宋_GBK" w:eastAsia="方正仿宋_GBK" w:cs="方正仿宋_GBK"/>
          <w:sz w:val="32"/>
        </w:rPr>
        <w:t>统筹医疗机构规划布局。根据区域</w:t>
      </w:r>
      <w:r>
        <w:rPr>
          <w:rFonts w:hint="eastAsia" w:ascii="方正仿宋_GBK" w:hAnsi="方正仿宋_GBK" w:eastAsia="方正仿宋_GBK" w:cs="方正仿宋_GBK"/>
          <w:sz w:val="32"/>
          <w:lang w:val="en-US" w:eastAsia="zh-CN"/>
        </w:rPr>
        <w:t>功能</w:t>
      </w:r>
      <w:r>
        <w:rPr>
          <w:rFonts w:hint="eastAsia" w:ascii="方正仿宋_GBK" w:hAnsi="方正仿宋_GBK" w:eastAsia="方正仿宋_GBK" w:cs="方正仿宋_GBK"/>
          <w:sz w:val="32"/>
        </w:rPr>
        <w:t>调整、人口</w:t>
      </w:r>
      <w:r>
        <w:rPr>
          <w:rFonts w:hint="eastAsia" w:ascii="方正仿宋_GBK" w:hAnsi="方正仿宋_GBK" w:eastAsia="方正仿宋_GBK" w:cs="方正仿宋_GBK"/>
          <w:sz w:val="32"/>
          <w:lang w:val="en-US" w:eastAsia="zh-CN"/>
        </w:rPr>
        <w:t>流动趋势</w:t>
      </w:r>
      <w:r>
        <w:rPr>
          <w:rFonts w:hint="eastAsia" w:ascii="方正仿宋_GBK" w:hAnsi="方正仿宋_GBK" w:eastAsia="方正仿宋_GBK" w:cs="方正仿宋_GBK"/>
          <w:sz w:val="32"/>
        </w:rPr>
        <w:t>和</w:t>
      </w:r>
      <w:r>
        <w:rPr>
          <w:rFonts w:hint="eastAsia" w:ascii="方正仿宋_GBK" w:hAnsi="方正仿宋_GBK" w:eastAsia="方正仿宋_GBK" w:cs="方正仿宋_GBK"/>
          <w:sz w:val="32"/>
          <w:lang w:val="en-US" w:eastAsia="zh-CN"/>
        </w:rPr>
        <w:t>城镇</w:t>
      </w:r>
      <w:r>
        <w:rPr>
          <w:rFonts w:hint="eastAsia" w:ascii="方正仿宋_GBK" w:hAnsi="方正仿宋_GBK" w:eastAsia="方正仿宋_GBK" w:cs="方正仿宋_GBK"/>
          <w:sz w:val="32"/>
        </w:rPr>
        <w:t>化进程，结合社会经济发展状况和疾病谱变化及群众卫生健康需求，合理设置医疗机构。加强医疗资源统筹，引导公立医院丰富内涵有序发展，</w:t>
      </w:r>
      <w:r>
        <w:rPr>
          <w:rFonts w:hint="eastAsia" w:ascii="方正仿宋_GBK" w:hAnsi="方正仿宋_GBK" w:eastAsia="方正仿宋_GBK" w:cs="方正仿宋_GBK"/>
          <w:sz w:val="32"/>
          <w:lang w:eastAsia="zh-CN"/>
        </w:rPr>
        <w:t>加强一院</w:t>
      </w:r>
      <w:r>
        <w:rPr>
          <w:rFonts w:hint="eastAsia" w:ascii="方正仿宋_GBK" w:hAnsi="方正仿宋_GBK" w:eastAsia="方正仿宋_GBK" w:cs="方正仿宋_GBK"/>
          <w:sz w:val="32"/>
        </w:rPr>
        <w:t>两区管理，合理规划院区发展方向，统筹协调发展。严格控制新增公立医疗机构和公立医院新增床位，加强存量医疗资源统筹、调整优化，引导社会资本有序理性设置民营医疗机构</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2"/>
        </w:rPr>
        <w:t>引导规范社会办医健康发展</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2"/>
        </w:rPr>
        <w:t>严禁公立医院违规举债建设和盲目扩建。</w:t>
      </w:r>
    </w:p>
    <w:p w14:paraId="4B59229A">
      <w:pPr>
        <w:keepNext w:val="0"/>
        <w:keepLines w:val="0"/>
        <w:pageBreakBefore w:val="0"/>
        <w:kinsoku/>
        <w:wordWrap/>
        <w:topLinePunct w:val="0"/>
        <w:autoSpaceDE/>
        <w:autoSpaceDN/>
        <w:bidi w:val="0"/>
        <w:spacing w:line="540" w:lineRule="exact"/>
        <w:ind w:firstLine="640" w:firstLineChars="200"/>
        <w:rPr>
          <w:rFonts w:hint="eastAsia" w:ascii="方正仿宋_GBK" w:hAnsi="方正仿宋_GBK" w:eastAsia="方正仿宋_GBK" w:cs="方正仿宋_GBK"/>
          <w:sz w:val="32"/>
          <w:lang w:eastAsia="zh-CN"/>
        </w:rPr>
      </w:pPr>
      <w:r>
        <w:rPr>
          <w:rFonts w:hint="eastAsia" w:ascii="方正仿宋_GBK" w:hAnsi="方正仿宋_GBK" w:eastAsia="方正仿宋_GBK" w:cs="方正仿宋_GBK"/>
          <w:sz w:val="32"/>
          <w:lang w:val="en-US" w:eastAsia="zh-CN"/>
        </w:rPr>
        <w:t>2.</w:t>
      </w:r>
      <w:r>
        <w:rPr>
          <w:rFonts w:hint="eastAsia" w:ascii="方正仿宋_GBK" w:hAnsi="方正仿宋_GBK" w:eastAsia="方正仿宋_GBK" w:cs="方正仿宋_GBK"/>
          <w:sz w:val="32"/>
        </w:rPr>
        <w:t>提升紧密型城市医疗集团质效。推广</w:t>
      </w:r>
      <w:r>
        <w:rPr>
          <w:rFonts w:hint="eastAsia" w:ascii="方正仿宋_GBK" w:hAnsi="方正仿宋_GBK" w:eastAsia="方正仿宋_GBK" w:cs="方正仿宋_GBK"/>
          <w:sz w:val="30"/>
          <w:szCs w:val="30"/>
          <w:lang w:val="en-US" w:eastAsia="zh-CN"/>
        </w:rPr>
        <w:t>4家</w:t>
      </w:r>
      <w:r>
        <w:rPr>
          <w:rFonts w:hint="eastAsia" w:ascii="方正仿宋_GBK" w:hAnsi="方正仿宋_GBK" w:eastAsia="方正仿宋_GBK" w:cs="方正仿宋_GBK"/>
          <w:sz w:val="30"/>
          <w:szCs w:val="30"/>
        </w:rPr>
        <w:t>国家紧密型城市医疗集团建设试点经验，持续优化运行机制，规范内部管理。紧扣“强基层、促协同、提效能”主线，锚定优质医疗资源扩容下沉和区域均衡布局目标，着力提升基层医疗机构服务能力，加</w:t>
      </w:r>
      <w:r>
        <w:rPr>
          <w:rFonts w:hint="eastAsia" w:ascii="方正仿宋_GBK" w:hAnsi="方正仿宋_GBK" w:eastAsia="方正仿宋_GBK" w:cs="方正仿宋_GBK"/>
          <w:sz w:val="32"/>
        </w:rPr>
        <w:t>快完善“基层首诊、双向转诊、急慢分治、上下联动”的分级诊疗体系。深化一体化管理</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0"/>
          <w:szCs w:val="30"/>
        </w:rPr>
        <w:t>督</w:t>
      </w:r>
      <w:r>
        <w:rPr>
          <w:rFonts w:hint="eastAsia" w:ascii="方正仿宋_GBK" w:hAnsi="方正仿宋_GBK" w:eastAsia="方正仿宋_GBK" w:cs="方正仿宋_GBK"/>
          <w:sz w:val="30"/>
          <w:szCs w:val="30"/>
          <w:lang w:eastAsia="zh-CN"/>
        </w:rPr>
        <w:t>促龙头医院</w:t>
      </w:r>
      <w:r>
        <w:rPr>
          <w:rFonts w:hint="eastAsia" w:ascii="方正仿宋_GBK" w:hAnsi="方正仿宋_GBK" w:eastAsia="方正仿宋_GBK" w:cs="方正仿宋_GBK"/>
          <w:sz w:val="30"/>
          <w:szCs w:val="30"/>
        </w:rPr>
        <w:t>全面落实集团内各分院人事、财务、药品、耗材、设备等“六统一”管理，</w:t>
      </w:r>
      <w:r>
        <w:rPr>
          <w:rFonts w:hint="eastAsia" w:ascii="方正仿宋_GBK" w:hAnsi="方正仿宋_GBK" w:eastAsia="方正仿宋_GBK" w:cs="方正仿宋_GBK"/>
          <w:sz w:val="32"/>
        </w:rPr>
        <w:t>切实提升运行质效</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2"/>
        </w:rPr>
        <w:t>强化</w:t>
      </w:r>
      <w:r>
        <w:rPr>
          <w:rFonts w:hint="eastAsia" w:ascii="方正仿宋_GBK" w:hAnsi="方正仿宋_GBK" w:eastAsia="方正仿宋_GBK" w:cs="方正仿宋_GBK"/>
          <w:sz w:val="32"/>
          <w:lang w:val="en-US" w:eastAsia="zh-CN"/>
        </w:rPr>
        <w:t>质量</w:t>
      </w:r>
      <w:r>
        <w:rPr>
          <w:rFonts w:hint="eastAsia" w:ascii="方正仿宋_GBK" w:hAnsi="方正仿宋_GBK" w:eastAsia="方正仿宋_GBK" w:cs="方正仿宋_GBK"/>
          <w:sz w:val="32"/>
        </w:rPr>
        <w:t>同质化</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2"/>
        </w:rPr>
        <w:t>持续完善质量安全管理体系，强化医疗、护理、院感、病案、药事及公共卫生等质量控制职能，推动集团内医疗质量同质化管理水平稳步提升</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2"/>
        </w:rPr>
        <w:t>推进智慧互联</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2"/>
        </w:rPr>
        <w:t>深化信息化互联互通，统筹集团信息化顶层设计、建设与网络安全保障，实现电子病历、健康档案、就诊信息上下贯通。加快“人工智能+医疗健康”场景应用落地，对成员单位</w:t>
      </w:r>
      <w:r>
        <w:rPr>
          <w:rFonts w:hint="eastAsia" w:ascii="方正仿宋_GBK" w:hAnsi="方正仿宋_GBK" w:eastAsia="方正仿宋_GBK" w:cs="方正仿宋_GBK"/>
          <w:sz w:val="32"/>
          <w:lang w:eastAsia="zh-CN"/>
        </w:rPr>
        <w:t>加大</w:t>
      </w:r>
      <w:r>
        <w:rPr>
          <w:rFonts w:hint="eastAsia" w:ascii="方正仿宋_GBK" w:hAnsi="方正仿宋_GBK" w:eastAsia="方正仿宋_GBK" w:cs="方正仿宋_GBK"/>
          <w:sz w:val="32"/>
        </w:rPr>
        <w:t>培训帮扶力度</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2"/>
        </w:rPr>
        <w:t>常态化落实“机制、人员、技术、管理、服务”五维下沉模式，建立健全下沉人员服务质量与效果评价体系</w:t>
      </w:r>
      <w:r>
        <w:rPr>
          <w:rFonts w:hint="eastAsia" w:ascii="方正仿宋_GBK" w:hAnsi="方正仿宋_GBK" w:eastAsia="方正仿宋_GBK" w:cs="方正仿宋_GBK"/>
          <w:sz w:val="32"/>
          <w:lang w:eastAsia="zh-CN"/>
        </w:rPr>
        <w:t>。</w:t>
      </w:r>
    </w:p>
    <w:p w14:paraId="5D8FCAA1">
      <w:pPr>
        <w:keepNext w:val="0"/>
        <w:keepLines w:val="0"/>
        <w:pageBreakBefore w:val="0"/>
        <w:kinsoku/>
        <w:wordWrap/>
        <w:topLinePunct w:val="0"/>
        <w:autoSpaceDE/>
        <w:autoSpaceDN/>
        <w:bidi w:val="0"/>
        <w:spacing w:line="540" w:lineRule="exact"/>
        <w:ind w:firstLine="640" w:firstLineChars="200"/>
        <w:rPr>
          <w:rFonts w:hint="eastAsia" w:ascii="方正仿宋_GBK" w:hAnsi="方正仿宋_GBK" w:eastAsia="方正仿宋_GBK" w:cs="方正仿宋_GBK"/>
          <w:sz w:val="32"/>
          <w:lang w:eastAsia="zh-CN"/>
        </w:rPr>
      </w:pPr>
      <w:r>
        <w:rPr>
          <w:rFonts w:hint="eastAsia" w:ascii="方正仿宋_GBK" w:hAnsi="方正仿宋_GBK" w:eastAsia="方正仿宋_GBK" w:cs="方正仿宋_GBK"/>
          <w:sz w:val="32"/>
          <w:lang w:val="en-US" w:eastAsia="zh-CN"/>
        </w:rPr>
        <w:t>3.打造区域医疗高地</w:t>
      </w:r>
      <w:r>
        <w:rPr>
          <w:rFonts w:hint="eastAsia" w:ascii="方正仿宋_GBK" w:hAnsi="方正仿宋_GBK" w:eastAsia="方正仿宋_GBK" w:cs="方正仿宋_GBK"/>
          <w:sz w:val="32"/>
        </w:rPr>
        <w:t>。集中优质资源，打造龙头优、骨干壮、专科强的三级医院群，全面提升疑难复杂危重疾病诊疗、医学研究、医学人才培养和医院运营管理能力水平。持续深化沪淮、宁淮</w:t>
      </w:r>
      <w:r>
        <w:rPr>
          <w:rFonts w:hint="eastAsia" w:ascii="方正仿宋_GBK" w:hAnsi="方正仿宋_GBK" w:eastAsia="方正仿宋_GBK" w:cs="方正仿宋_GBK"/>
          <w:sz w:val="32"/>
          <w:lang w:val="en-US" w:eastAsia="zh-CN"/>
        </w:rPr>
        <w:t>卫生合作</w:t>
      </w:r>
      <w:r>
        <w:rPr>
          <w:rFonts w:hint="eastAsia" w:ascii="方正仿宋_GBK" w:hAnsi="方正仿宋_GBK" w:eastAsia="方正仿宋_GBK" w:cs="方正仿宋_GBK"/>
          <w:sz w:val="32"/>
        </w:rPr>
        <w:t>，推动市县医院对接高水平</w:t>
      </w:r>
      <w:r>
        <w:rPr>
          <w:rFonts w:hint="eastAsia" w:ascii="方正仿宋_GBK" w:hAnsi="方正仿宋_GBK" w:eastAsia="方正仿宋_GBK" w:cs="方正仿宋_GBK"/>
          <w:sz w:val="32"/>
          <w:lang w:val="en-US" w:eastAsia="zh-CN"/>
        </w:rPr>
        <w:t>医院</w:t>
      </w:r>
      <w:r>
        <w:rPr>
          <w:rFonts w:hint="eastAsia" w:ascii="方正仿宋_GBK" w:hAnsi="方正仿宋_GBK" w:eastAsia="方正仿宋_GBK" w:cs="方正仿宋_GBK"/>
          <w:sz w:val="32"/>
        </w:rPr>
        <w:t>医联体、专科联盟，通过名医工作室、名医故乡行等</w:t>
      </w:r>
      <w:r>
        <w:rPr>
          <w:rFonts w:hint="eastAsia" w:ascii="方正仿宋_GBK" w:hAnsi="方正仿宋_GBK" w:eastAsia="方正仿宋_GBK" w:cs="方正仿宋_GBK"/>
          <w:sz w:val="32"/>
          <w:lang w:val="en-US" w:eastAsia="zh-CN"/>
        </w:rPr>
        <w:t>形式</w:t>
      </w:r>
      <w:r>
        <w:rPr>
          <w:rFonts w:hint="eastAsia" w:ascii="方正仿宋_GBK" w:hAnsi="方正仿宋_GBK" w:eastAsia="方正仿宋_GBK" w:cs="方正仿宋_GBK"/>
          <w:sz w:val="32"/>
        </w:rPr>
        <w:t>引进前沿诊疗技术。聚焦肿瘤、心脑血管疾病、呼吸系统疾病、严重创伤烧伤、断肢（指、趾）再植、中毒</w:t>
      </w:r>
      <w:r>
        <w:rPr>
          <w:rFonts w:hint="eastAsia" w:ascii="方正仿宋_GBK" w:hAnsi="方正仿宋_GBK" w:eastAsia="方正仿宋_GBK" w:cs="方正仿宋_GBK"/>
          <w:sz w:val="32"/>
          <w:lang w:val="en-US" w:eastAsia="zh-CN"/>
        </w:rPr>
        <w:t>救治</w:t>
      </w:r>
      <w:r>
        <w:rPr>
          <w:rFonts w:hint="eastAsia" w:ascii="方正仿宋_GBK" w:hAnsi="方正仿宋_GBK" w:eastAsia="方正仿宋_GBK" w:cs="方正仿宋_GBK"/>
          <w:sz w:val="32"/>
        </w:rPr>
        <w:t>等市内外转高发病种集中开展技术攻关。高标准推进省级区域医疗中心建设</w:t>
      </w:r>
      <w:r>
        <w:rPr>
          <w:rFonts w:hint="eastAsia" w:ascii="方正仿宋_GBK" w:hAnsi="方正仿宋_GBK" w:eastAsia="方正仿宋_GBK" w:cs="方正仿宋_GBK"/>
          <w:sz w:val="32"/>
          <w:lang w:eastAsia="zh-CN"/>
        </w:rPr>
        <w:t>，提升</w:t>
      </w:r>
      <w:r>
        <w:rPr>
          <w:rFonts w:hint="eastAsia" w:ascii="方正仿宋_GBK" w:hAnsi="方正仿宋_GBK" w:eastAsia="方正仿宋_GBK" w:cs="方正仿宋_GBK"/>
          <w:sz w:val="32"/>
        </w:rPr>
        <w:t>市三院省级精神区域医疗中心</w:t>
      </w:r>
      <w:r>
        <w:rPr>
          <w:rFonts w:hint="eastAsia" w:ascii="方正仿宋_GBK" w:hAnsi="方正仿宋_GBK" w:eastAsia="方正仿宋_GBK" w:cs="方正仿宋_GBK"/>
          <w:sz w:val="32"/>
          <w:lang w:eastAsia="zh-CN"/>
        </w:rPr>
        <w:t>建设</w:t>
      </w:r>
      <w:r>
        <w:rPr>
          <w:rFonts w:hint="eastAsia" w:ascii="方正仿宋_GBK" w:hAnsi="方正仿宋_GBK" w:eastAsia="方正仿宋_GBK" w:cs="方正仿宋_GBK"/>
          <w:sz w:val="32"/>
        </w:rPr>
        <w:t>内涵</w:t>
      </w:r>
      <w:r>
        <w:rPr>
          <w:rFonts w:hint="eastAsia" w:ascii="方正仿宋_GBK" w:hAnsi="方正仿宋_GBK" w:eastAsia="方正仿宋_GBK" w:cs="方正仿宋_GBK"/>
          <w:sz w:val="32"/>
          <w:lang w:eastAsia="zh-CN"/>
        </w:rPr>
        <w:t>，支持</w:t>
      </w:r>
      <w:r>
        <w:rPr>
          <w:rFonts w:hint="eastAsia" w:ascii="方正仿宋_GBK" w:hAnsi="方正仿宋_GBK" w:eastAsia="方正仿宋_GBK" w:cs="方正仿宋_GBK"/>
          <w:sz w:val="32"/>
        </w:rPr>
        <w:t>市一院创伤与重症、市二院老年</w:t>
      </w:r>
      <w:r>
        <w:rPr>
          <w:rFonts w:hint="eastAsia" w:ascii="方正仿宋_GBK" w:hAnsi="方正仿宋_GBK" w:eastAsia="方正仿宋_GBK" w:cs="方正仿宋_GBK"/>
          <w:sz w:val="32"/>
          <w:lang w:val="en-US" w:eastAsia="zh-CN"/>
        </w:rPr>
        <w:t>省级专科区域医疗中心建设单位创建进程</w:t>
      </w:r>
      <w:r>
        <w:rPr>
          <w:rFonts w:hint="eastAsia" w:ascii="方正仿宋_GBK" w:hAnsi="方正仿宋_GBK" w:eastAsia="方正仿宋_GBK" w:cs="方正仿宋_GBK"/>
          <w:sz w:val="32"/>
        </w:rPr>
        <w:t>。推动三级医院结合省</w:t>
      </w:r>
      <w:r>
        <w:rPr>
          <w:rFonts w:hint="eastAsia" w:ascii="方正仿宋_GBK" w:hAnsi="方正仿宋_GBK" w:eastAsia="方正仿宋_GBK" w:cs="方正仿宋_GBK"/>
          <w:sz w:val="32"/>
          <w:lang w:eastAsia="zh-CN"/>
        </w:rPr>
        <w:t>级</w:t>
      </w:r>
      <w:r>
        <w:rPr>
          <w:rFonts w:hint="eastAsia" w:ascii="方正仿宋_GBK" w:hAnsi="方正仿宋_GBK" w:eastAsia="方正仿宋_GBK" w:cs="方正仿宋_GBK"/>
          <w:sz w:val="32"/>
        </w:rPr>
        <w:t>区域医疗中心设置规划，</w:t>
      </w:r>
      <w:r>
        <w:rPr>
          <w:rFonts w:hint="eastAsia" w:ascii="方正仿宋_GBK" w:hAnsi="方正仿宋_GBK" w:eastAsia="方正仿宋_GBK" w:cs="方正仿宋_GBK"/>
          <w:sz w:val="32"/>
          <w:lang w:eastAsia="zh-CN"/>
        </w:rPr>
        <w:t>全面</w:t>
      </w:r>
      <w:r>
        <w:rPr>
          <w:rFonts w:hint="eastAsia" w:ascii="方正仿宋_GBK" w:hAnsi="方正仿宋_GBK" w:eastAsia="方正仿宋_GBK" w:cs="方正仿宋_GBK"/>
          <w:sz w:val="32"/>
        </w:rPr>
        <w:t>加强省级区域医疗中心创建工作</w:t>
      </w:r>
      <w:r>
        <w:rPr>
          <w:rFonts w:hint="eastAsia" w:ascii="方正仿宋_GBK" w:hAnsi="方正仿宋_GBK" w:eastAsia="方正仿宋_GBK" w:cs="方正仿宋_GBK"/>
          <w:sz w:val="32"/>
          <w:lang w:eastAsia="zh-CN"/>
        </w:rPr>
        <w:t>，到</w:t>
      </w:r>
      <w:r>
        <w:rPr>
          <w:rFonts w:hint="eastAsia" w:ascii="方正仿宋_GBK" w:hAnsi="方正仿宋_GBK" w:eastAsia="方正仿宋_GBK" w:cs="方正仿宋_GBK"/>
          <w:sz w:val="32"/>
          <w:lang w:val="en-US" w:eastAsia="zh-CN"/>
        </w:rPr>
        <w:t>2030年</w:t>
      </w:r>
      <w:r>
        <w:rPr>
          <w:rFonts w:hint="eastAsia" w:ascii="方正仿宋_GBK" w:hAnsi="方正仿宋_GBK" w:eastAsia="方正仿宋_GBK" w:cs="方正仿宋_GBK"/>
          <w:sz w:val="32"/>
          <w:lang w:eastAsia="zh-CN"/>
        </w:rPr>
        <w:t>力争新增</w:t>
      </w:r>
      <w:r>
        <w:rPr>
          <w:rFonts w:hint="eastAsia" w:ascii="方正仿宋_GBK" w:hAnsi="方正仿宋_GBK" w:eastAsia="方正仿宋_GBK" w:cs="方正仿宋_GBK"/>
          <w:sz w:val="32"/>
          <w:lang w:val="en-US" w:eastAsia="zh-CN"/>
        </w:rPr>
        <w:t>3-5个省级区域医疗中心（建设单位）</w:t>
      </w:r>
      <w:r>
        <w:rPr>
          <w:rFonts w:hint="eastAsia" w:ascii="方正仿宋_GBK" w:hAnsi="方正仿宋_GBK" w:eastAsia="方正仿宋_GBK" w:cs="方正仿宋_GBK"/>
          <w:sz w:val="32"/>
        </w:rPr>
        <w:t>。综合专科实力、地理区位、疾病负担、辐射覆盖范围</w:t>
      </w:r>
      <w:r>
        <w:rPr>
          <w:rFonts w:hint="eastAsia" w:ascii="方正仿宋_GBK" w:hAnsi="方正仿宋_GBK" w:eastAsia="方正仿宋_GBK" w:cs="方正仿宋_GBK"/>
          <w:sz w:val="32"/>
          <w:lang w:val="en-US" w:eastAsia="zh-CN"/>
        </w:rPr>
        <w:t>等</w:t>
      </w:r>
      <w:r>
        <w:rPr>
          <w:rFonts w:hint="eastAsia" w:ascii="方正仿宋_GBK" w:hAnsi="方正仿宋_GBK" w:eastAsia="方正仿宋_GBK" w:cs="方正仿宋_GBK"/>
          <w:sz w:val="32"/>
        </w:rPr>
        <w:t>制定市级</w:t>
      </w:r>
      <w:bookmarkStart w:id="7" w:name="_GoBack"/>
      <w:bookmarkEnd w:id="7"/>
      <w:r>
        <w:rPr>
          <w:rFonts w:hint="eastAsia" w:ascii="方正仿宋_GBK" w:hAnsi="方正仿宋_GBK" w:eastAsia="方正仿宋_GBK" w:cs="方正仿宋_GBK"/>
          <w:sz w:val="32"/>
        </w:rPr>
        <w:t>区域医疗中心</w:t>
      </w:r>
      <w:r>
        <w:rPr>
          <w:rFonts w:hint="eastAsia" w:ascii="方正仿宋_GBK" w:hAnsi="方正仿宋_GBK" w:eastAsia="方正仿宋_GBK" w:cs="方正仿宋_GBK"/>
          <w:sz w:val="32"/>
          <w:lang w:val="en-US" w:eastAsia="zh-CN"/>
        </w:rPr>
        <w:t>建设</w:t>
      </w:r>
      <w:r>
        <w:rPr>
          <w:rFonts w:hint="eastAsia" w:ascii="方正仿宋_GBK" w:hAnsi="方正仿宋_GBK" w:eastAsia="方正仿宋_GBK" w:cs="方正仿宋_GBK"/>
          <w:sz w:val="32"/>
        </w:rPr>
        <w:t>标准，有序推进市级诊疗高地培育。</w:t>
      </w:r>
    </w:p>
    <w:p w14:paraId="029E1666">
      <w:pPr>
        <w:keepNext w:val="0"/>
        <w:keepLines w:val="0"/>
        <w:pageBreakBefore w:val="0"/>
        <w:kinsoku/>
        <w:wordWrap/>
        <w:topLinePunct w:val="0"/>
        <w:autoSpaceDE/>
        <w:autoSpaceDN/>
        <w:bidi w:val="0"/>
        <w:spacing w:line="540" w:lineRule="exact"/>
        <w:ind w:firstLine="640" w:firstLineChars="200"/>
        <w:rPr>
          <w:rFonts w:hint="eastAsia"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4.</w:t>
      </w:r>
      <w:r>
        <w:rPr>
          <w:rFonts w:hint="eastAsia" w:ascii="方正仿宋_GBK" w:hAnsi="方正仿宋_GBK" w:eastAsia="方正仿宋_GBK" w:cs="方正仿宋_GBK"/>
          <w:sz w:val="32"/>
        </w:rPr>
        <w:t>提高专科</w:t>
      </w:r>
      <w:r>
        <w:rPr>
          <w:rFonts w:hint="eastAsia" w:ascii="方正仿宋_GBK" w:hAnsi="方正仿宋_GBK" w:eastAsia="方正仿宋_GBK" w:cs="方正仿宋_GBK"/>
          <w:sz w:val="32"/>
          <w:lang w:val="en-US" w:eastAsia="zh-CN"/>
        </w:rPr>
        <w:t>学科</w:t>
      </w:r>
      <w:r>
        <w:rPr>
          <w:rFonts w:hint="eastAsia" w:ascii="方正仿宋_GBK" w:hAnsi="方正仿宋_GBK" w:eastAsia="方正仿宋_GBK" w:cs="方正仿宋_GBK"/>
          <w:sz w:val="32"/>
        </w:rPr>
        <w:t>能力水平。</w:t>
      </w:r>
      <w:r>
        <w:rPr>
          <w:rFonts w:hint="eastAsia" w:ascii="方正仿宋_GBK" w:hAnsi="方正仿宋_GBK" w:eastAsia="方正仿宋_GBK" w:cs="方正仿宋_GBK"/>
          <w:sz w:val="32"/>
          <w:lang w:val="en-US" w:eastAsia="zh-CN"/>
        </w:rPr>
        <w:t>持续强化临床重点专科建设，严格对标国家临床专科能力评估标准，各三甲医院筛选1-3个特色优势专科攻坚创建国家临床重点专科。聚焦恶性肿瘤、呼吸、心脑血管、急诊急救等重大疾病专科提质升级，打造省内优势专科集群。实施县级医院临床重点专科培育三年行动，指导各县（区）综合医院确定3个重点发展专科，构建市县联动、梯度发展的专科体系。</w:t>
      </w:r>
      <w:r>
        <w:rPr>
          <w:rFonts w:hint="eastAsia" w:ascii="方正仿宋_GBK" w:hAnsi="方正仿宋_GBK" w:eastAsia="方正仿宋_GBK" w:cs="方正仿宋_GBK"/>
          <w:sz w:val="32"/>
        </w:rPr>
        <w:t>实施医学重点学科培育工程，遴选5-10个优势学科纳入市级重点学科建设项目，择优培育省级医学重点学科</w:t>
      </w:r>
      <w:r>
        <w:rPr>
          <w:rFonts w:hint="eastAsia" w:ascii="方正仿宋_GBK" w:hAnsi="方正仿宋_GBK" w:eastAsia="方正仿宋_GBK" w:cs="方正仿宋_GBK"/>
          <w:sz w:val="32"/>
          <w:lang w:eastAsia="zh-CN"/>
        </w:rPr>
        <w:t>。</w:t>
      </w:r>
      <w:r>
        <w:rPr>
          <w:rFonts w:hint="eastAsia" w:ascii="方正仿宋_GBK" w:hAnsi="方正仿宋_GBK" w:eastAsia="方正仿宋_GBK" w:cs="方正仿宋_GBK"/>
          <w:sz w:val="32"/>
          <w:lang w:val="en-US" w:eastAsia="zh-CN"/>
        </w:rPr>
        <w:t>到2030年力争新创成2个省级临床重点学科、新增5个以上省级临床重点专科。</w:t>
      </w:r>
    </w:p>
    <w:p w14:paraId="4E07A4ED">
      <w:pPr>
        <w:keepNext w:val="0"/>
        <w:keepLines w:val="0"/>
        <w:pageBreakBefore w:val="0"/>
        <w:kinsoku/>
        <w:wordWrap/>
        <w:topLinePunct w:val="0"/>
        <w:autoSpaceDE/>
        <w:autoSpaceDN/>
        <w:bidi w:val="0"/>
        <w:spacing w:line="540" w:lineRule="exact"/>
        <w:ind w:firstLine="640" w:firstLineChars="200"/>
        <w:rPr>
          <w:rFonts w:hint="eastAsia"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5</w:t>
      </w:r>
      <w:r>
        <w:rPr>
          <w:rFonts w:hint="eastAsia" w:ascii="方正仿宋_GBK" w:hAnsi="方正仿宋_GBK" w:eastAsia="方正仿宋_GBK" w:cs="方正仿宋_GBK"/>
          <w:sz w:val="32"/>
        </w:rPr>
        <w:t>.</w:t>
      </w:r>
      <w:r>
        <w:rPr>
          <w:rFonts w:hint="eastAsia" w:ascii="方正仿宋_GBK" w:hAnsi="方正仿宋_GBK" w:eastAsia="方正仿宋_GBK" w:cs="方正仿宋_GBK"/>
          <w:sz w:val="32"/>
          <w:lang w:val="en-US" w:eastAsia="zh-CN"/>
        </w:rPr>
        <w:t xml:space="preserve">全面提升医疗质量安全和医疗服务。深入落实医疗质量安全和医疗服务“双提升”攻坚行动，统筹抓实医疗质量管理与便民服务提质。健全市县两级医疗质量控制体系，压实医疗机构主体责任，强化依法执业监管，规范各类诊疗行为。强化二、三级医院住院患者临床路径标准化管理。推进二级以上医疗机构开设体重管理、心理、睡眠、戒烟等特色门诊，有条件的可设置健康与慢病管理中心，推行综合诊疗和健康管理模式。在二级以上医院推广多学科联合诊疗模式，探索建立心脏、神经、肿瘤等跨学科综合诊疗中心，构建以病人为中心，以疾病诊疗为链条的多学科融合发展模式。支持开设专科护理门诊，加强专科护士培训，提升优质护理服务能力。加强药品和医疗器械不良反应监测报告工作。 </w:t>
      </w:r>
    </w:p>
    <w:p w14:paraId="41BCFFE4">
      <w:pPr>
        <w:keepNext w:val="0"/>
        <w:keepLines w:val="0"/>
        <w:pageBreakBefore w:val="0"/>
        <w:kinsoku/>
        <w:wordWrap/>
        <w:topLinePunct w:val="0"/>
        <w:autoSpaceDE/>
        <w:autoSpaceDN/>
        <w:bidi w:val="0"/>
        <w:spacing w:line="540" w:lineRule="exact"/>
        <w:ind w:firstLine="640" w:firstLineChars="200"/>
        <w:rPr>
          <w:rFonts w:hint="eastAsia"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6.提升医疗应急保障能力。加强紧急医学救援基地与队伍建设，加大培训演练力度，提升应对复杂场景的快速反应与综合救治能力。科学完善院前急救站点设置，实现急救资源全域覆盖。健全院前急救质控体系，强化急救调度、现场处置、转运交接等全流程标准化管理。普及救护车单北斗导航系统应用，落实“呼叫即定位”“上车即入院”等便民急救服务模式。探索建立社会联动急救机制。提高血液安全供应保障和服务能力。持续优化固定采血点建设。强化临床合理用血，持续提升临床自体输血比例。加大无偿献血宣传引导力度，强化团体献血组织动员，提升团体献血计划完成率。落实无偿献血者及其直系亲属关爱优待政策措施。严格执行血站操作规程，提升血液安全供应保障和风险防控能力。</w:t>
      </w:r>
    </w:p>
    <w:p w14:paraId="73D5A5F6">
      <w:pPr>
        <w:keepNext w:val="0"/>
        <w:keepLines w:val="0"/>
        <w:pageBreakBefore w:val="0"/>
        <w:kinsoku/>
        <w:wordWrap/>
        <w:topLinePunct w:val="0"/>
        <w:autoSpaceDE/>
        <w:autoSpaceDN/>
        <w:bidi w:val="0"/>
        <w:spacing w:line="540" w:lineRule="exact"/>
        <w:ind w:firstLine="640" w:firstLineChars="200"/>
        <w:rPr>
          <w:rFonts w:hint="eastAsia" w:ascii="方正仿宋_GBK" w:hAnsi="方正仿宋_GBK" w:eastAsia="方正仿宋_GBK" w:cs="方正仿宋_GBK"/>
          <w:sz w:val="32"/>
          <w:lang w:val="en-US" w:eastAsia="zh-CN"/>
        </w:rPr>
      </w:pPr>
      <w:r>
        <w:rPr>
          <w:rFonts w:hint="eastAsia" w:ascii="方正仿宋_GBK" w:hAnsi="方正仿宋_GBK" w:eastAsia="方正仿宋_GBK" w:cs="方正仿宋_GBK"/>
          <w:sz w:val="32"/>
          <w:lang w:val="en-US" w:eastAsia="zh-CN"/>
        </w:rPr>
        <w:t>7.强化药品供应保障体系。深入实施国家基本药物制度，抓实医疗卫生机构配备使用。落实国家药物政策体系要求，统筹推进药品生产、使用、报销等多部门药物政策协同联动治理。健全短缺药品监测预警机制，提升短缺药品应对处置质效。推进儿童、罕见病患者等特殊人群用药保障。</w:t>
      </w:r>
    </w:p>
    <w:p w14:paraId="2F7F1442">
      <w:pPr>
        <w:keepNext w:val="0"/>
        <w:keepLines w:val="0"/>
        <w:pageBreakBefore w:val="0"/>
        <w:kinsoku/>
        <w:wordWrap/>
        <w:overflowPunct w:val="0"/>
        <w:topLinePunct w:val="0"/>
        <w:autoSpaceDE/>
        <w:autoSpaceDN/>
        <w:bidi w:val="0"/>
        <w:spacing w:line="540" w:lineRule="exact"/>
        <w:ind w:firstLine="640" w:firstLineChars="200"/>
        <w:textAlignment w:val="auto"/>
        <w:rPr>
          <w:rFonts w:hint="eastAsia" w:ascii="Times New Roman" w:hAnsi="楷体" w:eastAsia="方正楷体_GBK" w:cs="Times New Roman"/>
          <w:bCs/>
          <w:color w:val="FF0000"/>
          <w:sz w:val="32"/>
          <w:szCs w:val="32"/>
          <w:lang w:eastAsia="zh-CN"/>
        </w:rPr>
      </w:pPr>
      <w:r>
        <w:rPr>
          <w:rFonts w:hint="eastAsia" w:ascii="Times New Roman" w:hAnsi="楷体" w:eastAsia="方正楷体_GBK" w:cs="Times New Roman"/>
          <w:bCs/>
          <w:color w:val="000000" w:themeColor="text1"/>
          <w:sz w:val="32"/>
          <w:szCs w:val="32"/>
          <w:lang w:eastAsia="zh-CN"/>
        </w:rPr>
        <w:t>（三）聚力强基固本，铸强基层医疗卫生服务网底</w:t>
      </w:r>
    </w:p>
    <w:p w14:paraId="4AF14FA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firstLine="640" w:firstLineChars="200"/>
        <w:jc w:val="left"/>
        <w:textAlignment w:val="auto"/>
        <w:rPr>
          <w:rFonts w:hint="eastAsia" w:ascii="方正仿宋_GBK" w:hAnsi="方正仿宋_GBK" w:eastAsia="方正仿宋_GBK" w:cs="方正仿宋_GBK"/>
          <w:kern w:val="2"/>
          <w:sz w:val="32"/>
          <w:szCs w:val="24"/>
          <w:lang w:val="en-US" w:eastAsia="zh-CN" w:bidi="ar-SA"/>
        </w:rPr>
      </w:pPr>
      <w:r>
        <w:rPr>
          <w:rFonts w:hint="eastAsia" w:ascii="方正仿宋_GBK" w:hAnsi="方正仿宋_GBK" w:eastAsia="方正仿宋_GBK" w:cs="方正仿宋_GBK"/>
          <w:kern w:val="2"/>
          <w:sz w:val="32"/>
          <w:szCs w:val="24"/>
          <w:lang w:val="en-US" w:eastAsia="zh-CN" w:bidi="ar-SA"/>
        </w:rPr>
        <w:t>1.优化基层医疗卫生机构布局。健全以县级医院为龙头、乡镇卫生院为枢纽、村卫生室为基础的乡村医疗卫生服务体系，进一步加强城市社区卫生服务体系建设。结合人口变化趋势优化乡镇卫生院、村卫生室和社区卫生服务中心（站）设置。到</w:t>
      </w:r>
      <w:r>
        <w:rPr>
          <w:rFonts w:hint="default" w:ascii="方正仿宋_GBK" w:hAnsi="方正仿宋_GBK" w:eastAsia="方正仿宋_GBK" w:cs="方正仿宋_GBK"/>
          <w:kern w:val="2"/>
          <w:sz w:val="32"/>
          <w:szCs w:val="24"/>
          <w:lang w:val="en-US" w:eastAsia="zh-CN" w:bidi="ar-SA"/>
        </w:rPr>
        <w:t>2030年，全市基层医疗卫生机构布局更加均衡合理，乡镇卫生院（社区卫生服务中心）整合</w:t>
      </w:r>
      <w:r>
        <w:rPr>
          <w:rFonts w:hint="eastAsia" w:ascii="方正仿宋_GBK" w:hAnsi="方正仿宋_GBK" w:eastAsia="方正仿宋_GBK" w:cs="方正仿宋_GBK"/>
          <w:kern w:val="2"/>
          <w:sz w:val="32"/>
          <w:szCs w:val="24"/>
          <w:lang w:val="en-US" w:eastAsia="zh-CN" w:bidi="ar-SA"/>
        </w:rPr>
        <w:t>至95个左右</w:t>
      </w:r>
      <w:r>
        <w:rPr>
          <w:rFonts w:hint="default" w:ascii="方正仿宋_GBK" w:hAnsi="方正仿宋_GBK" w:eastAsia="方正仿宋_GBK" w:cs="方正仿宋_GBK"/>
          <w:kern w:val="2"/>
          <w:sz w:val="32"/>
          <w:szCs w:val="24"/>
          <w:lang w:val="en-US" w:eastAsia="zh-CN" w:bidi="ar-SA"/>
        </w:rPr>
        <w:t>。</w:t>
      </w:r>
    </w:p>
    <w:p w14:paraId="5BC0A5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kern w:val="2"/>
          <w:sz w:val="32"/>
          <w:szCs w:val="24"/>
          <w:lang w:val="en-US" w:eastAsia="zh-CN" w:bidi="ar-SA"/>
        </w:rPr>
      </w:pPr>
      <w:r>
        <w:rPr>
          <w:rFonts w:hint="eastAsia" w:ascii="方正仿宋_GBK" w:hAnsi="方正仿宋_GBK" w:eastAsia="方正仿宋_GBK" w:cs="方正仿宋_GBK"/>
          <w:kern w:val="2"/>
          <w:sz w:val="32"/>
          <w:szCs w:val="24"/>
          <w:lang w:val="en-US" w:eastAsia="zh-CN" w:bidi="ar-SA"/>
        </w:rPr>
        <w:t>2.</w:t>
      </w:r>
      <w:r>
        <w:rPr>
          <w:rFonts w:hint="default" w:ascii="方正仿宋_GBK" w:hAnsi="方正仿宋_GBK" w:eastAsia="方正仿宋_GBK" w:cs="方正仿宋_GBK"/>
          <w:kern w:val="2"/>
          <w:sz w:val="32"/>
          <w:szCs w:val="24"/>
          <w:lang w:val="en-US" w:eastAsia="zh-CN" w:bidi="ar-SA"/>
        </w:rPr>
        <w:t>完善紧密型县域医共体运行机制。全面推进紧密型县域医共体建设，建立健全决策、执行、监督、保障相互协调制约的县域医共体治理结构和管理机制</w:t>
      </w:r>
      <w:r>
        <w:rPr>
          <w:rFonts w:hint="eastAsia" w:ascii="方正仿宋_GBK" w:hAnsi="方正仿宋_GBK" w:eastAsia="方正仿宋_GBK" w:cs="方正仿宋_GBK"/>
          <w:kern w:val="2"/>
          <w:sz w:val="32"/>
          <w:szCs w:val="24"/>
          <w:lang w:val="en-US" w:eastAsia="zh-CN" w:bidi="ar-SA"/>
        </w:rPr>
        <w:t>。积极搭建医学检验、医学影像、心电诊断、区域审方等资源共享中心，推动中心药房建设并实际投入运行，推广“分布式检查、集中式诊断”模式。持续推进人员下沉派驻服务全覆盖。到</w:t>
      </w:r>
      <w:r>
        <w:rPr>
          <w:rFonts w:hint="default" w:ascii="方正仿宋_GBK" w:hAnsi="方正仿宋_GBK" w:eastAsia="方正仿宋_GBK" w:cs="方正仿宋_GBK"/>
          <w:kern w:val="2"/>
          <w:sz w:val="32"/>
          <w:szCs w:val="24"/>
          <w:lang w:val="en-US" w:eastAsia="zh-CN" w:bidi="ar-SA"/>
        </w:rPr>
        <w:t>2027年，各医共体完成人、财、物、信息等充分整合、集约使用；</w:t>
      </w:r>
      <w:r>
        <w:rPr>
          <w:rFonts w:hint="eastAsia" w:ascii="方正仿宋_GBK" w:hAnsi="方正仿宋_GBK" w:eastAsia="方正仿宋_GBK" w:cs="方正仿宋_GBK"/>
          <w:kern w:val="2"/>
          <w:sz w:val="32"/>
          <w:szCs w:val="24"/>
          <w:lang w:val="en-US" w:eastAsia="zh-CN" w:bidi="ar-SA"/>
        </w:rPr>
        <w:t>到2030年，</w:t>
      </w:r>
      <w:r>
        <w:rPr>
          <w:rFonts w:hint="default" w:ascii="方正仿宋_GBK" w:hAnsi="方正仿宋_GBK" w:eastAsia="方正仿宋_GBK" w:cs="方正仿宋_GBK"/>
          <w:kern w:val="2"/>
          <w:sz w:val="32"/>
          <w:szCs w:val="24"/>
          <w:lang w:val="en-US" w:eastAsia="zh-CN" w:bidi="ar-SA"/>
        </w:rPr>
        <w:t>县域医共体的紧密性、协同性进一步提升。</w:t>
      </w:r>
    </w:p>
    <w:p w14:paraId="75DC1565">
      <w:pPr>
        <w:pStyle w:val="21"/>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eastAsia" w:ascii="方正仿宋_GBK" w:hAnsi="方正仿宋_GBK" w:eastAsia="方正仿宋_GBK" w:cs="方正仿宋_GBK"/>
          <w:kern w:val="2"/>
          <w:sz w:val="32"/>
          <w:szCs w:val="24"/>
          <w:lang w:val="en-US" w:eastAsia="zh-CN" w:bidi="ar-SA"/>
        </w:rPr>
      </w:pPr>
      <w:r>
        <w:rPr>
          <w:rFonts w:hint="eastAsia" w:ascii="方正仿宋_GBK" w:hAnsi="方正仿宋_GBK" w:eastAsia="方正仿宋_GBK" w:cs="方正仿宋_GBK"/>
          <w:kern w:val="2"/>
          <w:sz w:val="32"/>
          <w:szCs w:val="24"/>
          <w:lang w:val="en-US" w:eastAsia="zh-CN" w:bidi="ar-SA"/>
        </w:rPr>
        <w:t>3.</w:t>
      </w:r>
      <w:r>
        <w:rPr>
          <w:rFonts w:hint="default" w:ascii="方正仿宋_GBK" w:hAnsi="方正仿宋_GBK" w:eastAsia="方正仿宋_GBK" w:cs="方正仿宋_GBK"/>
          <w:kern w:val="2"/>
          <w:sz w:val="32"/>
          <w:szCs w:val="24"/>
          <w:lang w:val="en-US" w:eastAsia="zh-CN" w:bidi="ar-SA"/>
        </w:rPr>
        <w:t>提升基本医疗服务能力。重点提升基层医疗卫生机构常见病、多发病</w:t>
      </w:r>
      <w:r>
        <w:rPr>
          <w:rFonts w:hint="eastAsia" w:ascii="方正仿宋_GBK" w:hAnsi="方正仿宋_GBK" w:eastAsia="方正仿宋_GBK" w:cs="方正仿宋_GBK"/>
          <w:kern w:val="2"/>
          <w:sz w:val="32"/>
          <w:szCs w:val="24"/>
          <w:lang w:val="en-US" w:eastAsia="zh-CN" w:bidi="ar-SA"/>
        </w:rPr>
        <w:t>和</w:t>
      </w:r>
      <w:r>
        <w:rPr>
          <w:rFonts w:hint="default" w:ascii="方正仿宋_GBK" w:hAnsi="方正仿宋_GBK" w:eastAsia="方正仿宋_GBK" w:cs="方正仿宋_GBK"/>
          <w:kern w:val="2"/>
          <w:sz w:val="32"/>
          <w:szCs w:val="24"/>
          <w:lang w:val="en-US" w:eastAsia="zh-CN" w:bidi="ar-SA"/>
        </w:rPr>
        <w:t>慢性病</w:t>
      </w:r>
      <w:r>
        <w:rPr>
          <w:rFonts w:hint="eastAsia" w:ascii="方正仿宋_GBK" w:hAnsi="方正仿宋_GBK" w:eastAsia="方正仿宋_GBK" w:cs="方正仿宋_GBK"/>
          <w:kern w:val="2"/>
          <w:sz w:val="32"/>
          <w:szCs w:val="24"/>
          <w:lang w:val="en-US" w:eastAsia="zh-CN" w:bidi="ar-SA"/>
        </w:rPr>
        <w:t>预防、诊治、康复能力，发挥中医药作用</w:t>
      </w:r>
      <w:r>
        <w:rPr>
          <w:rFonts w:hint="default" w:ascii="方正仿宋_GBK" w:hAnsi="方正仿宋_GBK" w:eastAsia="方正仿宋_GBK" w:cs="方正仿宋_GBK"/>
          <w:kern w:val="2"/>
          <w:sz w:val="32"/>
          <w:szCs w:val="24"/>
          <w:lang w:val="en-US" w:eastAsia="zh-CN" w:bidi="ar-SA"/>
        </w:rPr>
        <w:t>。</w:t>
      </w:r>
      <w:r>
        <w:rPr>
          <w:rFonts w:hint="eastAsia" w:ascii="方正仿宋_GBK" w:hAnsi="方正仿宋_GBK" w:eastAsia="方正仿宋_GBK" w:cs="方正仿宋_GBK"/>
          <w:kern w:val="2"/>
          <w:sz w:val="32"/>
          <w:szCs w:val="24"/>
          <w:lang w:val="en-US" w:eastAsia="zh-CN" w:bidi="ar-SA"/>
        </w:rPr>
        <w:t>持续开展“优质服务基层行”活动，加强基层特色科室建设，持续推动</w:t>
      </w:r>
      <w:r>
        <w:rPr>
          <w:rFonts w:hint="default" w:ascii="方正仿宋_GBK" w:hAnsi="方正仿宋_GBK" w:eastAsia="方正仿宋_GBK" w:cs="方正仿宋_GBK"/>
          <w:kern w:val="2"/>
          <w:sz w:val="32"/>
          <w:szCs w:val="24"/>
          <w:lang w:val="en-US" w:eastAsia="zh-CN" w:bidi="ar-SA"/>
        </w:rPr>
        <w:t>农村区域性医疗卫生中心</w:t>
      </w:r>
      <w:r>
        <w:rPr>
          <w:rFonts w:hint="eastAsia" w:ascii="方正仿宋_GBK" w:hAnsi="方正仿宋_GBK" w:eastAsia="方正仿宋_GBK" w:cs="方正仿宋_GBK"/>
          <w:kern w:val="2"/>
          <w:sz w:val="32"/>
          <w:szCs w:val="24"/>
          <w:lang w:val="en-US" w:eastAsia="zh-CN" w:bidi="ar-SA"/>
        </w:rPr>
        <w:t>提档升级和社区医院建设，</w:t>
      </w:r>
      <w:r>
        <w:rPr>
          <w:rFonts w:hint="default" w:ascii="方正仿宋_GBK" w:hAnsi="方正仿宋_GBK" w:eastAsia="方正仿宋_GBK" w:cs="方正仿宋_GBK"/>
          <w:kern w:val="2"/>
          <w:sz w:val="32"/>
          <w:szCs w:val="24"/>
          <w:lang w:val="en-US" w:eastAsia="zh-CN" w:bidi="ar-SA"/>
        </w:rPr>
        <w:t>推进基层慢病筛防中心建设</w:t>
      </w:r>
      <w:r>
        <w:rPr>
          <w:rFonts w:hint="eastAsia" w:ascii="方正仿宋_GBK" w:hAnsi="方正仿宋_GBK" w:eastAsia="方正仿宋_GBK" w:cs="方正仿宋_GBK"/>
          <w:kern w:val="2"/>
          <w:sz w:val="32"/>
          <w:szCs w:val="24"/>
          <w:lang w:val="en-US" w:eastAsia="zh-CN" w:bidi="ar-SA"/>
        </w:rPr>
        <w:t>，推动</w:t>
      </w:r>
      <w:r>
        <w:rPr>
          <w:rFonts w:hint="default" w:ascii="方正仿宋_GBK" w:hAnsi="方正仿宋_GBK" w:eastAsia="方正仿宋_GBK" w:cs="方正仿宋_GBK"/>
          <w:kern w:val="2"/>
          <w:sz w:val="32"/>
          <w:szCs w:val="24"/>
          <w:lang w:val="en-US" w:eastAsia="zh-CN" w:bidi="ar-SA"/>
        </w:rPr>
        <w:t>村级便民门诊建设</w:t>
      </w:r>
      <w:r>
        <w:rPr>
          <w:rFonts w:hint="eastAsia" w:ascii="方正仿宋_GBK" w:hAnsi="方正仿宋_GBK" w:eastAsia="方正仿宋_GBK" w:cs="方正仿宋_GBK"/>
          <w:kern w:val="2"/>
          <w:sz w:val="32"/>
          <w:szCs w:val="24"/>
          <w:lang w:val="en-US" w:eastAsia="zh-CN" w:bidi="ar-SA"/>
        </w:rPr>
        <w:t>。到</w:t>
      </w:r>
      <w:r>
        <w:rPr>
          <w:rFonts w:hint="default" w:ascii="方正仿宋_GBK" w:hAnsi="方正仿宋_GBK" w:eastAsia="方正仿宋_GBK" w:cs="方正仿宋_GBK"/>
          <w:kern w:val="2"/>
          <w:sz w:val="32"/>
          <w:szCs w:val="24"/>
          <w:lang w:val="en-US" w:eastAsia="zh-CN" w:bidi="ar-SA"/>
        </w:rPr>
        <w:t>2030年</w:t>
      </w:r>
      <w:r>
        <w:rPr>
          <w:rFonts w:hint="eastAsia" w:ascii="方正仿宋_GBK" w:hAnsi="方正仿宋_GBK" w:eastAsia="方正仿宋_GBK" w:cs="方正仿宋_GBK"/>
          <w:kern w:val="2"/>
          <w:sz w:val="32"/>
          <w:szCs w:val="24"/>
          <w:lang w:val="en-US" w:eastAsia="zh-CN" w:bidi="ar-SA"/>
        </w:rPr>
        <w:t>，乡镇卫生院（社区卫生服务中心）达到服务能力标准的比例稳定在98%以上，达到推荐标准</w:t>
      </w:r>
      <w:r>
        <w:rPr>
          <w:rFonts w:hint="default" w:ascii="方正仿宋_GBK" w:hAnsi="方正仿宋_GBK" w:eastAsia="方正仿宋_GBK" w:cs="方正仿宋_GBK"/>
          <w:kern w:val="2"/>
          <w:sz w:val="32"/>
          <w:szCs w:val="24"/>
          <w:lang w:val="en-US" w:eastAsia="zh-CN" w:bidi="ar-SA"/>
        </w:rPr>
        <w:t>的基层医疗卫生机构</w:t>
      </w:r>
      <w:r>
        <w:rPr>
          <w:rFonts w:hint="eastAsia" w:ascii="方正仿宋_GBK" w:hAnsi="方正仿宋_GBK" w:eastAsia="方正仿宋_GBK" w:cs="方正仿宋_GBK"/>
          <w:kern w:val="2"/>
          <w:sz w:val="32"/>
          <w:szCs w:val="24"/>
          <w:lang w:val="en-US" w:eastAsia="zh-CN" w:bidi="ar-SA"/>
        </w:rPr>
        <w:t>均建成</w:t>
      </w:r>
      <w:r>
        <w:rPr>
          <w:rFonts w:hint="default" w:ascii="方正仿宋_GBK" w:hAnsi="方正仿宋_GBK" w:eastAsia="方正仿宋_GBK" w:cs="方正仿宋_GBK"/>
          <w:kern w:val="2"/>
          <w:sz w:val="32"/>
          <w:szCs w:val="24"/>
          <w:lang w:val="en-US" w:eastAsia="zh-CN" w:bidi="ar-SA"/>
        </w:rPr>
        <w:t>1个基层特色科室</w:t>
      </w:r>
      <w:r>
        <w:rPr>
          <w:rFonts w:hint="eastAsia" w:ascii="方正仿宋_GBK" w:hAnsi="方正仿宋_GBK" w:eastAsia="方正仿宋_GBK" w:cs="方正仿宋_GBK"/>
          <w:kern w:val="2"/>
          <w:sz w:val="32"/>
          <w:szCs w:val="24"/>
          <w:lang w:val="en-US" w:eastAsia="zh-CN" w:bidi="ar-SA"/>
        </w:rPr>
        <w:t>，</w:t>
      </w:r>
      <w:r>
        <w:rPr>
          <w:rFonts w:hint="default" w:ascii="方正仿宋_GBK" w:hAnsi="方正仿宋_GBK" w:eastAsia="方正仿宋_GBK" w:cs="方正仿宋_GBK"/>
          <w:kern w:val="2"/>
          <w:sz w:val="32"/>
          <w:szCs w:val="24"/>
          <w:lang w:val="en-US" w:eastAsia="zh-CN" w:bidi="ar-SA"/>
        </w:rPr>
        <w:t>全市15个农村区域性医疗卫生中心“十大功能中心”通用类功能中心实现全覆盖</w:t>
      </w:r>
      <w:r>
        <w:rPr>
          <w:rFonts w:hint="eastAsia" w:ascii="方正仿宋_GBK" w:hAnsi="方正仿宋_GBK" w:eastAsia="方正仿宋_GBK" w:cs="方正仿宋_GBK"/>
          <w:kern w:val="2"/>
          <w:sz w:val="32"/>
          <w:szCs w:val="24"/>
          <w:lang w:val="en-US" w:eastAsia="zh-CN" w:bidi="ar-SA"/>
        </w:rPr>
        <w:t>。25%以上的村卫生室达到江苏省村卫生室服务能力评定推荐标准，</w:t>
      </w:r>
      <w:r>
        <w:rPr>
          <w:rFonts w:hint="default" w:ascii="方正仿宋_GBK" w:hAnsi="方正仿宋_GBK" w:eastAsia="方正仿宋_GBK" w:cs="方正仿宋_GBK"/>
          <w:kern w:val="2"/>
          <w:sz w:val="32"/>
          <w:szCs w:val="24"/>
          <w:lang w:val="en-US" w:eastAsia="zh-CN" w:bidi="ar-SA"/>
        </w:rPr>
        <w:t>90%以上村卫生室开设便民门诊</w:t>
      </w:r>
      <w:r>
        <w:rPr>
          <w:rFonts w:hint="eastAsia" w:ascii="方正仿宋_GBK" w:hAnsi="方正仿宋_GBK" w:eastAsia="方正仿宋_GBK" w:cs="方正仿宋_GBK"/>
          <w:kern w:val="2"/>
          <w:sz w:val="32"/>
          <w:szCs w:val="24"/>
          <w:lang w:val="en-US" w:eastAsia="zh-CN" w:bidi="ar-SA"/>
        </w:rPr>
        <w:t>。</w:t>
      </w:r>
    </w:p>
    <w:p w14:paraId="6BEF5B1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kern w:val="2"/>
          <w:sz w:val="32"/>
          <w:szCs w:val="24"/>
          <w:lang w:val="en-US" w:eastAsia="zh-CN" w:bidi="ar-SA"/>
        </w:rPr>
      </w:pPr>
      <w:r>
        <w:rPr>
          <w:rFonts w:hint="eastAsia" w:ascii="方正仿宋_GBK" w:hAnsi="方正仿宋_GBK" w:eastAsia="方正仿宋_GBK" w:cs="方正仿宋_GBK"/>
          <w:kern w:val="2"/>
          <w:sz w:val="32"/>
          <w:szCs w:val="24"/>
          <w:lang w:val="en-US" w:eastAsia="zh-CN" w:bidi="ar-SA"/>
        </w:rPr>
        <w:t>4.</w:t>
      </w:r>
      <w:r>
        <w:rPr>
          <w:rFonts w:hint="default" w:ascii="方正仿宋_GBK" w:hAnsi="方正仿宋_GBK" w:eastAsia="方正仿宋_GBK" w:cs="方正仿宋_GBK"/>
          <w:kern w:val="2"/>
          <w:sz w:val="32"/>
          <w:szCs w:val="24"/>
          <w:lang w:val="en-US" w:eastAsia="zh-CN" w:bidi="ar-SA"/>
        </w:rPr>
        <w:t>提升基本公共卫生服务水平。持续优化基本公共卫生服务项目，充实内容量化频次。强化孕产妇、0—6岁儿童、65岁以上老年人以及高血压、2型糖尿病、慢阻肺病患者等重点人群系统连续服务</w:t>
      </w:r>
      <w:r>
        <w:rPr>
          <w:rFonts w:hint="eastAsia" w:ascii="方正仿宋_GBK" w:hAnsi="方正仿宋_GBK" w:eastAsia="方正仿宋_GBK" w:cs="方正仿宋_GBK"/>
          <w:kern w:val="2"/>
          <w:sz w:val="32"/>
          <w:szCs w:val="24"/>
          <w:lang w:val="en-US" w:eastAsia="zh-CN" w:bidi="ar-SA"/>
        </w:rPr>
        <w:t>。</w:t>
      </w:r>
      <w:r>
        <w:rPr>
          <w:rFonts w:hint="default" w:ascii="方正仿宋_GBK" w:hAnsi="方正仿宋_GBK" w:eastAsia="方正仿宋_GBK" w:cs="方正仿宋_GBK"/>
          <w:kern w:val="2"/>
          <w:sz w:val="32"/>
          <w:szCs w:val="24"/>
          <w:lang w:val="en-US" w:eastAsia="zh-CN" w:bidi="ar-SA"/>
        </w:rPr>
        <w:t>到2030年</w:t>
      </w:r>
      <w:r>
        <w:rPr>
          <w:rFonts w:hint="eastAsia" w:ascii="方正仿宋_GBK" w:hAnsi="方正仿宋_GBK" w:eastAsia="方正仿宋_GBK" w:cs="方正仿宋_GBK"/>
          <w:kern w:val="2"/>
          <w:sz w:val="32"/>
          <w:szCs w:val="24"/>
          <w:lang w:val="en-US" w:eastAsia="zh-CN" w:bidi="ar-SA"/>
        </w:rPr>
        <w:t>，</w:t>
      </w:r>
      <w:r>
        <w:rPr>
          <w:rFonts w:hint="default" w:ascii="方正仿宋_GBK" w:hAnsi="方正仿宋_GBK" w:eastAsia="方正仿宋_GBK" w:cs="方正仿宋_GBK"/>
          <w:kern w:val="2"/>
          <w:sz w:val="32"/>
          <w:szCs w:val="24"/>
          <w:lang w:val="en-US" w:eastAsia="zh-CN" w:bidi="ar-SA"/>
        </w:rPr>
        <w:t>高血压、2型糖尿病患者基层规范管理服务率</w:t>
      </w:r>
      <w:r>
        <w:rPr>
          <w:rFonts w:hint="eastAsia" w:ascii="方正仿宋_GBK" w:hAnsi="方正仿宋_GBK" w:eastAsia="方正仿宋_GBK" w:cs="方正仿宋_GBK"/>
          <w:kern w:val="2"/>
          <w:sz w:val="32"/>
          <w:szCs w:val="24"/>
          <w:lang w:val="en-US" w:eastAsia="zh-CN" w:bidi="ar-SA"/>
        </w:rPr>
        <w:t>超过</w:t>
      </w:r>
      <w:r>
        <w:rPr>
          <w:rFonts w:hint="default" w:ascii="方正仿宋_GBK" w:hAnsi="方正仿宋_GBK" w:eastAsia="方正仿宋_GBK" w:cs="方正仿宋_GBK"/>
          <w:kern w:val="2"/>
          <w:sz w:val="32"/>
          <w:szCs w:val="24"/>
          <w:lang w:val="en-US" w:eastAsia="zh-CN" w:bidi="ar-SA"/>
        </w:rPr>
        <w:t>70%。</w:t>
      </w:r>
      <w:r>
        <w:rPr>
          <w:rFonts w:hint="eastAsia" w:ascii="方正仿宋_GBK" w:hAnsi="方正仿宋_GBK" w:eastAsia="方正仿宋_GBK" w:cs="方正仿宋_GBK"/>
          <w:kern w:val="2"/>
          <w:sz w:val="32"/>
          <w:szCs w:val="24"/>
          <w:lang w:val="en-US" w:eastAsia="zh-CN" w:bidi="ar-SA"/>
        </w:rPr>
        <w:t>常态化</w:t>
      </w:r>
      <w:r>
        <w:rPr>
          <w:rFonts w:hint="default" w:ascii="方正仿宋_GBK" w:hAnsi="方正仿宋_GBK" w:eastAsia="方正仿宋_GBK" w:cs="方正仿宋_GBK"/>
          <w:kern w:val="2"/>
          <w:sz w:val="32"/>
          <w:szCs w:val="24"/>
          <w:lang w:val="en-US" w:eastAsia="zh-CN" w:bidi="ar-SA"/>
        </w:rPr>
        <w:t>做细做实家庭医生签约服务</w:t>
      </w:r>
      <w:r>
        <w:rPr>
          <w:rFonts w:hint="eastAsia" w:ascii="方正仿宋_GBK" w:hAnsi="方正仿宋_GBK" w:eastAsia="方正仿宋_GBK" w:cs="方正仿宋_GBK"/>
          <w:kern w:val="2"/>
          <w:sz w:val="32"/>
          <w:szCs w:val="24"/>
          <w:lang w:val="en-US" w:eastAsia="zh-CN" w:bidi="ar-SA"/>
        </w:rPr>
        <w:t>，</w:t>
      </w:r>
      <w:r>
        <w:rPr>
          <w:rFonts w:hint="default" w:ascii="方正仿宋_GBK" w:hAnsi="方正仿宋_GBK" w:eastAsia="方正仿宋_GBK" w:cs="方正仿宋_GBK"/>
          <w:kern w:val="2"/>
          <w:sz w:val="32"/>
          <w:szCs w:val="24"/>
          <w:lang w:val="en-US" w:eastAsia="zh-CN" w:bidi="ar-SA"/>
        </w:rPr>
        <w:t>做好“六个拓展”，重点支持基层医疗卫生机构开展个性化签约服务</w:t>
      </w:r>
      <w:r>
        <w:rPr>
          <w:rFonts w:hint="eastAsia" w:ascii="方正仿宋_GBK" w:hAnsi="方正仿宋_GBK" w:eastAsia="方正仿宋_GBK" w:cs="方正仿宋_GBK"/>
          <w:kern w:val="2"/>
          <w:sz w:val="32"/>
          <w:szCs w:val="24"/>
          <w:lang w:val="en-US" w:eastAsia="zh-CN" w:bidi="ar-SA"/>
        </w:rPr>
        <w:t>，到2030年，乡镇卫生院（社区卫生服务中心）开展个性化家庭医生签约服务比例达到90%。稳步扩大重点人群签约服务覆盖面，</w:t>
      </w:r>
      <w:r>
        <w:rPr>
          <w:rFonts w:hint="default" w:ascii="方正仿宋_GBK" w:hAnsi="方正仿宋_GBK" w:eastAsia="方正仿宋_GBK" w:cs="方正仿宋_GBK"/>
          <w:kern w:val="2"/>
          <w:sz w:val="32"/>
          <w:szCs w:val="24"/>
          <w:lang w:val="en-US" w:eastAsia="zh-CN" w:bidi="ar-SA"/>
        </w:rPr>
        <w:t>签约服务覆盖率每年提升1</w:t>
      </w:r>
      <w:r>
        <w:rPr>
          <w:rFonts w:hint="eastAsia" w:ascii="方正仿宋_GBK" w:hAnsi="方正仿宋_GBK" w:eastAsia="方正仿宋_GBK" w:cs="方正仿宋_GBK"/>
          <w:kern w:val="2"/>
          <w:sz w:val="32"/>
          <w:szCs w:val="24"/>
          <w:lang w:val="en-US" w:eastAsia="zh-CN" w:bidi="ar-SA"/>
        </w:rPr>
        <w:t>—</w:t>
      </w:r>
      <w:r>
        <w:rPr>
          <w:rFonts w:hint="default" w:ascii="方正仿宋_GBK" w:hAnsi="方正仿宋_GBK" w:eastAsia="方正仿宋_GBK" w:cs="方正仿宋_GBK"/>
          <w:kern w:val="2"/>
          <w:sz w:val="32"/>
          <w:szCs w:val="24"/>
          <w:lang w:val="en-US" w:eastAsia="zh-CN" w:bidi="ar-SA"/>
        </w:rPr>
        <w:t>3个百分点。</w:t>
      </w:r>
    </w:p>
    <w:p w14:paraId="7C313ED4">
      <w:pPr>
        <w:pStyle w:val="21"/>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宋体"/>
          <w:color w:val="FF0000"/>
          <w:kern w:val="2"/>
          <w:sz w:val="32"/>
          <w:szCs w:val="24"/>
          <w:lang w:val="en-US" w:eastAsia="zh-CN" w:bidi="ar-SA"/>
        </w:rPr>
      </w:pPr>
      <w:r>
        <w:rPr>
          <w:rFonts w:hint="eastAsia" w:ascii="方正仿宋_GBK" w:hAnsi="方正仿宋_GBK" w:eastAsia="方正仿宋_GBK" w:cs="方正仿宋_GBK"/>
          <w:kern w:val="2"/>
          <w:sz w:val="32"/>
          <w:szCs w:val="24"/>
          <w:lang w:val="en-US" w:eastAsia="zh-CN" w:bidi="ar-SA"/>
        </w:rPr>
        <w:t>5.</w:t>
      </w:r>
      <w:r>
        <w:rPr>
          <w:rFonts w:hint="default" w:ascii="方正仿宋_GBK" w:hAnsi="方正仿宋_GBK" w:eastAsia="方正仿宋_GBK" w:cs="方正仿宋_GBK"/>
          <w:kern w:val="2"/>
          <w:sz w:val="32"/>
          <w:szCs w:val="24"/>
          <w:lang w:val="en-US" w:eastAsia="zh-CN" w:bidi="ar-SA"/>
        </w:rPr>
        <w:t>加大</w:t>
      </w:r>
      <w:r>
        <w:rPr>
          <w:rFonts w:hint="eastAsia" w:ascii="方正仿宋_GBK" w:hAnsi="方正仿宋_GBK" w:eastAsia="方正仿宋_GBK" w:cs="方正仿宋_GBK"/>
          <w:kern w:val="2"/>
          <w:sz w:val="32"/>
          <w:szCs w:val="24"/>
          <w:lang w:val="en-US" w:eastAsia="zh-CN" w:bidi="ar-SA"/>
        </w:rPr>
        <w:t>基层医疗卫生</w:t>
      </w:r>
      <w:r>
        <w:rPr>
          <w:rFonts w:hint="default" w:ascii="方正仿宋_GBK" w:hAnsi="方正仿宋_GBK" w:eastAsia="方正仿宋_GBK" w:cs="方正仿宋_GBK"/>
          <w:kern w:val="2"/>
          <w:sz w:val="32"/>
          <w:szCs w:val="24"/>
          <w:lang w:val="en-US" w:eastAsia="zh-CN" w:bidi="ar-SA"/>
        </w:rPr>
        <w:t>人才培养力度。</w:t>
      </w:r>
      <w:r>
        <w:rPr>
          <w:rFonts w:hint="eastAsia" w:ascii="方正仿宋_GBK" w:hAnsi="方正仿宋_GBK" w:eastAsia="方正仿宋_GBK" w:cs="方正仿宋_GBK"/>
          <w:kern w:val="2"/>
          <w:sz w:val="32"/>
          <w:szCs w:val="24"/>
          <w:lang w:val="en-US" w:eastAsia="zh-CN" w:bidi="ar-SA"/>
        </w:rPr>
        <w:t>实施卫生人才强基工程，推进</w:t>
      </w:r>
      <w:r>
        <w:rPr>
          <w:rFonts w:hint="default" w:ascii="方正仿宋_GBK" w:hAnsi="方正仿宋_GBK" w:eastAsia="方正仿宋_GBK" w:cs="方正仿宋_GBK"/>
          <w:kern w:val="2"/>
          <w:sz w:val="32"/>
          <w:szCs w:val="24"/>
          <w:lang w:val="en-US" w:eastAsia="zh-CN" w:bidi="ar-SA"/>
        </w:rPr>
        <w:t>县管乡用、乡聘村用</w:t>
      </w:r>
      <w:r>
        <w:rPr>
          <w:rFonts w:hint="eastAsia" w:ascii="方正仿宋_GBK" w:hAnsi="方正仿宋_GBK" w:eastAsia="方正仿宋_GBK" w:cs="方正仿宋_GBK"/>
          <w:kern w:val="2"/>
          <w:sz w:val="32"/>
          <w:szCs w:val="24"/>
          <w:lang w:val="en-US" w:eastAsia="zh-CN" w:bidi="ar-SA"/>
        </w:rPr>
        <w:t>，建立健全县域人才双向流动机制。加强基层全科、口腔、康复、精神心理健康等紧缺专业人才引进培养。</w:t>
      </w:r>
      <w:r>
        <w:rPr>
          <w:rFonts w:hint="default" w:ascii="方正仿宋_GBK" w:hAnsi="方正仿宋_GBK" w:eastAsia="方正仿宋_GBK" w:cs="方正仿宋_GBK"/>
          <w:kern w:val="2"/>
          <w:sz w:val="32"/>
          <w:szCs w:val="24"/>
          <w:lang w:val="en-US" w:eastAsia="zh-CN" w:bidi="ar-SA"/>
        </w:rPr>
        <w:t>建立县域医共体龙头医院卫生人员定期到基层服务制度，鼓励退休医生到基层医疗卫生机构执业，实施大学生乡村医生专项计划</w:t>
      </w:r>
      <w:r>
        <w:rPr>
          <w:rFonts w:hint="eastAsia" w:ascii="方正仿宋_GBK" w:hAnsi="方正仿宋_GBK" w:eastAsia="方正仿宋_GBK" w:cs="方正仿宋_GBK"/>
          <w:kern w:val="2"/>
          <w:sz w:val="32"/>
          <w:szCs w:val="24"/>
          <w:lang w:val="en-US" w:eastAsia="zh-CN" w:bidi="ar-SA"/>
        </w:rPr>
        <w:t>。</w:t>
      </w:r>
      <w:r>
        <w:rPr>
          <w:rFonts w:hint="default" w:ascii="方正仿宋_GBK" w:hAnsi="方正仿宋_GBK" w:eastAsia="方正仿宋_GBK" w:cs="方正仿宋_GBK"/>
          <w:kern w:val="2"/>
          <w:sz w:val="32"/>
          <w:szCs w:val="24"/>
          <w:lang w:val="en-US" w:eastAsia="zh-CN" w:bidi="ar-SA"/>
        </w:rPr>
        <w:t>依托市</w:t>
      </w:r>
      <w:r>
        <w:rPr>
          <w:rFonts w:hint="eastAsia" w:ascii="方正仿宋_GBK" w:hAnsi="方正仿宋_GBK" w:eastAsia="方正仿宋_GBK" w:cs="方正仿宋_GBK"/>
          <w:kern w:val="2"/>
          <w:sz w:val="32"/>
          <w:szCs w:val="24"/>
          <w:lang w:val="en-US" w:eastAsia="zh-CN" w:bidi="ar-SA"/>
        </w:rPr>
        <w:t>级</w:t>
      </w:r>
      <w:r>
        <w:rPr>
          <w:rFonts w:hint="default" w:ascii="方正仿宋_GBK" w:hAnsi="方正仿宋_GBK" w:eastAsia="方正仿宋_GBK" w:cs="方正仿宋_GBK"/>
          <w:kern w:val="2"/>
          <w:sz w:val="32"/>
          <w:szCs w:val="24"/>
          <w:lang w:val="en-US" w:eastAsia="zh-CN" w:bidi="ar-SA"/>
        </w:rPr>
        <w:t>医院和县级龙头医院，分级分类开展院长、业务骨干、乡村医生三类人员的培训与轮训</w:t>
      </w:r>
      <w:r>
        <w:rPr>
          <w:rFonts w:hint="eastAsia" w:ascii="方正仿宋_GBK" w:hAnsi="方正仿宋_GBK" w:eastAsia="方正仿宋_GBK" w:cs="方正仿宋_GBK"/>
          <w:kern w:val="2"/>
          <w:sz w:val="32"/>
          <w:szCs w:val="24"/>
          <w:lang w:val="en-US" w:eastAsia="zh-CN" w:bidi="ar-SA"/>
        </w:rPr>
        <w:t>，每年培训不少于2000人次</w:t>
      </w:r>
      <w:r>
        <w:rPr>
          <w:rFonts w:hint="default" w:ascii="方正仿宋_GBK" w:hAnsi="方正仿宋_GBK" w:eastAsia="方正仿宋_GBK" w:cs="方正仿宋_GBK"/>
          <w:kern w:val="2"/>
          <w:sz w:val="32"/>
          <w:szCs w:val="24"/>
          <w:lang w:val="en-US" w:eastAsia="zh-CN" w:bidi="ar-SA"/>
        </w:rPr>
        <w:t>。</w:t>
      </w:r>
      <w:r>
        <w:rPr>
          <w:rFonts w:hint="eastAsia" w:ascii="方正仿宋_GBK" w:hAnsi="方正仿宋_GBK" w:eastAsia="方正仿宋_GBK" w:cs="方正仿宋_GBK"/>
          <w:kern w:val="2"/>
          <w:sz w:val="32"/>
          <w:szCs w:val="24"/>
          <w:lang w:val="en-US" w:eastAsia="zh-CN" w:bidi="ar-SA"/>
        </w:rPr>
        <w:t>提高</w:t>
      </w:r>
      <w:r>
        <w:rPr>
          <w:rFonts w:hint="default" w:ascii="方正仿宋_GBK" w:hAnsi="方正仿宋_GBK" w:eastAsia="方正仿宋_GBK" w:cs="方正仿宋_GBK"/>
          <w:kern w:val="2"/>
          <w:sz w:val="32"/>
          <w:szCs w:val="24"/>
          <w:lang w:val="en-US" w:eastAsia="zh-CN" w:bidi="ar-SA"/>
        </w:rPr>
        <w:t>乡村医生</w:t>
      </w:r>
      <w:r>
        <w:rPr>
          <w:rFonts w:hint="eastAsia" w:ascii="方正仿宋_GBK" w:hAnsi="方正仿宋_GBK" w:eastAsia="方正仿宋_GBK" w:cs="方正仿宋_GBK"/>
          <w:kern w:val="2"/>
          <w:sz w:val="32"/>
          <w:szCs w:val="24"/>
          <w:lang w:val="en-US" w:eastAsia="zh-CN" w:bidi="ar-SA"/>
        </w:rPr>
        <w:t>队伍</w:t>
      </w:r>
      <w:r>
        <w:rPr>
          <w:rFonts w:hint="default" w:ascii="方正仿宋_GBK" w:hAnsi="方正仿宋_GBK" w:eastAsia="方正仿宋_GBK" w:cs="方正仿宋_GBK"/>
          <w:kern w:val="2"/>
          <w:sz w:val="32"/>
          <w:szCs w:val="24"/>
          <w:lang w:val="en-US" w:eastAsia="zh-CN" w:bidi="ar-SA"/>
        </w:rPr>
        <w:t>执业</w:t>
      </w:r>
      <w:r>
        <w:rPr>
          <w:rFonts w:hint="eastAsia" w:ascii="方正仿宋_GBK" w:hAnsi="方正仿宋_GBK" w:eastAsia="方正仿宋_GBK" w:cs="方正仿宋_GBK"/>
          <w:kern w:val="2"/>
          <w:sz w:val="32"/>
          <w:szCs w:val="24"/>
          <w:lang w:val="en-US" w:eastAsia="zh-CN" w:bidi="ar-SA"/>
        </w:rPr>
        <w:t>化率，到2030年，</w:t>
      </w:r>
      <w:r>
        <w:rPr>
          <w:rFonts w:hint="default" w:ascii="方正仿宋_GBK" w:hAnsi="方正仿宋_GBK" w:eastAsia="方正仿宋_GBK" w:cs="方正仿宋_GBK"/>
          <w:kern w:val="2"/>
          <w:sz w:val="32"/>
          <w:szCs w:val="24"/>
          <w:lang w:val="en-US" w:eastAsia="zh-CN" w:bidi="ar-SA"/>
        </w:rPr>
        <w:t>乡村医生队伍中执业（助理）医师占比达到70%以上。</w:t>
      </w:r>
    </w:p>
    <w:p w14:paraId="0AA257D3">
      <w:pPr>
        <w:keepNext w:val="0"/>
        <w:keepLines w:val="0"/>
        <w:pageBreakBefore w:val="0"/>
        <w:kinsoku/>
        <w:wordWrap/>
        <w:overflowPunct w:val="0"/>
        <w:topLinePunct w:val="0"/>
        <w:autoSpaceDE/>
        <w:autoSpaceDN/>
        <w:bidi w:val="0"/>
        <w:spacing w:line="540" w:lineRule="exact"/>
        <w:ind w:firstLine="640" w:firstLineChars="200"/>
        <w:textAlignment w:val="auto"/>
        <w:rPr>
          <w:rFonts w:hint="eastAsia" w:ascii="Times New Roman" w:hAnsi="楷体" w:eastAsia="方正楷体_GBK" w:cs="Times New Roman"/>
          <w:bCs/>
          <w:color w:val="000000" w:themeColor="text1"/>
          <w:sz w:val="32"/>
          <w:szCs w:val="32"/>
          <w:lang w:eastAsia="zh-CN"/>
        </w:rPr>
      </w:pPr>
      <w:r>
        <w:rPr>
          <w:rFonts w:hint="eastAsia" w:ascii="Times New Roman" w:hAnsi="楷体" w:eastAsia="方正楷体_GBK" w:cs="Times New Roman"/>
          <w:bCs/>
          <w:color w:val="000000" w:themeColor="text1"/>
          <w:sz w:val="32"/>
          <w:szCs w:val="32"/>
          <w:lang w:eastAsia="zh-CN"/>
        </w:rPr>
        <w:t>（四）聚力擦亮品牌，</w:t>
      </w:r>
      <w:r>
        <w:rPr>
          <w:rFonts w:hint="default" w:ascii="Times New Roman" w:hAnsi="楷体" w:eastAsia="方正楷体_GBK" w:cs="Times New Roman"/>
          <w:bCs/>
          <w:color w:val="000000" w:themeColor="text1"/>
          <w:sz w:val="32"/>
          <w:szCs w:val="32"/>
          <w:lang w:eastAsia="zh-CN"/>
        </w:rPr>
        <w:t>彰显山阳医派品质内涵</w:t>
      </w:r>
    </w:p>
    <w:p w14:paraId="48124D58">
      <w:pPr>
        <w:keepNext w:val="0"/>
        <w:keepLines w:val="0"/>
        <w:pageBreakBefore w:val="0"/>
        <w:kinsoku/>
        <w:wordWrap/>
        <w:overflowPunct w:val="0"/>
        <w:topLinePunct w:val="0"/>
        <w:autoSpaceDE/>
        <w:autoSpaceDN/>
        <w:bidi w:val="0"/>
        <w:spacing w:line="540" w:lineRule="exact"/>
        <w:ind w:firstLine="640" w:firstLineChars="200"/>
        <w:rPr>
          <w:rFonts w:hint="eastAsia" w:ascii="方正仿宋_GBK" w:hAnsi="方正仿宋_GBK" w:eastAsia="方正仿宋_GBK" w:cs="方正仿宋_GBK"/>
          <w:color w:val="auto"/>
          <w:kern w:val="2"/>
          <w:sz w:val="32"/>
          <w:szCs w:val="24"/>
          <w:lang w:val="en-US" w:eastAsia="zh-CN" w:bidi="ar-SA"/>
        </w:rPr>
      </w:pPr>
      <w:r>
        <w:rPr>
          <w:rFonts w:hint="eastAsia" w:ascii="方正仿宋_GBK" w:hAnsi="方正仿宋_GBK" w:eastAsia="方正仿宋_GBK" w:cs="方正仿宋_GBK"/>
          <w:color w:val="auto"/>
          <w:kern w:val="2"/>
          <w:sz w:val="32"/>
          <w:szCs w:val="24"/>
          <w:lang w:val="en-US" w:eastAsia="zh-CN" w:bidi="ar-SA"/>
        </w:rPr>
        <w:t>1. 优化中医药服务体系。促进优质中医医疗资源均衡布局和下沉，推动市中医院做优做强，增强区域辐射带动能力。健全中西医临床协同机制，实施综合医院中西医协同能力提升行动，建设中西医协同“旗舰”医院和“旗舰”科室，推进中西医协同发展。实施医疗卫生强基工程中医药行动，做强县级中医医院“龙头”，做实中医药服务“县域共同体”，推进基层中医馆、中医阁建设，完善名医下基层、基层中医师承和医院对口帮扶等机制，不断扩大优质基层中医药服务资源供给。推广共享中药房建设，推进市级中医优势专科联盟建设。推进市中医院紧急医学救援基地建设。</w:t>
      </w:r>
    </w:p>
    <w:p w14:paraId="3D37E862">
      <w:pPr>
        <w:keepNext w:val="0"/>
        <w:keepLines w:val="0"/>
        <w:pageBreakBefore w:val="0"/>
        <w:kinsoku/>
        <w:wordWrap/>
        <w:overflowPunct w:val="0"/>
        <w:topLinePunct w:val="0"/>
        <w:autoSpaceDE/>
        <w:autoSpaceDN/>
        <w:bidi w:val="0"/>
        <w:spacing w:line="540" w:lineRule="exact"/>
        <w:ind w:firstLine="640" w:firstLineChars="200"/>
        <w:rPr>
          <w:rFonts w:hint="eastAsia" w:ascii="方正仿宋_GBK" w:hAnsi="方正仿宋_GBK" w:eastAsia="方正仿宋_GBK" w:cs="方正仿宋_GBK"/>
          <w:color w:val="auto"/>
          <w:kern w:val="2"/>
          <w:sz w:val="32"/>
          <w:szCs w:val="24"/>
          <w:lang w:val="en-US" w:eastAsia="zh-CN" w:bidi="ar-SA"/>
        </w:rPr>
      </w:pPr>
      <w:r>
        <w:rPr>
          <w:rFonts w:hint="eastAsia" w:ascii="方正仿宋_GBK" w:hAnsi="方正仿宋_GBK" w:eastAsia="方正仿宋_GBK" w:cs="方正仿宋_GBK"/>
          <w:color w:val="auto"/>
          <w:kern w:val="2"/>
          <w:sz w:val="32"/>
          <w:szCs w:val="24"/>
          <w:lang w:val="en-US" w:eastAsia="zh-CN" w:bidi="ar-SA"/>
        </w:rPr>
        <w:t>2. 提升中医药服务能力。大力推广中医药适宜技术。健全中医药质量管理与控制体系，推进市级中医药质控中心建设和县级中医院“两专科一中心”建设。推动省市优质资源支持县级中医医院发展，引导三级中医医院对口帮扶。建设西学中培训基地，培养中西医结合高层次人才和“西学中”骨干人才、基层人才。</w:t>
      </w:r>
    </w:p>
    <w:p w14:paraId="2DD31064">
      <w:pPr>
        <w:keepNext w:val="0"/>
        <w:keepLines w:val="0"/>
        <w:pageBreakBefore w:val="0"/>
        <w:kinsoku/>
        <w:wordWrap/>
        <w:overflowPunct w:val="0"/>
        <w:topLinePunct w:val="0"/>
        <w:autoSpaceDE/>
        <w:autoSpaceDN/>
        <w:bidi w:val="0"/>
        <w:spacing w:line="540" w:lineRule="exact"/>
        <w:ind w:firstLine="640" w:firstLineChars="200"/>
        <w:rPr>
          <w:rFonts w:hint="eastAsia" w:ascii="方正仿宋_GBK" w:hAnsi="方正仿宋_GBK" w:eastAsia="方正仿宋_GBK" w:cs="方正仿宋_GBK"/>
          <w:color w:val="auto"/>
          <w:kern w:val="2"/>
          <w:sz w:val="32"/>
          <w:szCs w:val="24"/>
          <w:lang w:val="en-US" w:eastAsia="zh-CN" w:bidi="ar-SA"/>
        </w:rPr>
      </w:pPr>
      <w:r>
        <w:rPr>
          <w:rFonts w:hint="eastAsia" w:ascii="方正仿宋_GBK" w:hAnsi="方正仿宋_GBK" w:eastAsia="方正仿宋_GBK" w:cs="方正仿宋_GBK"/>
          <w:color w:val="auto"/>
          <w:kern w:val="2"/>
          <w:sz w:val="32"/>
          <w:szCs w:val="24"/>
          <w:lang w:val="en-US" w:eastAsia="zh-CN" w:bidi="ar-SA"/>
        </w:rPr>
        <w:t>3. 加强重点专科和科研能力建设。持续推进国家、省中医重点专科及学科建设，支持现有优势专科进一步提升技术水平和服务能力，加大科研投入，开展临床技术创新和应用研究，积极争取省级以上科研课题，推进科研成果转化。强化老中医药专家学术经验和技艺传承，建设名中医传承工作室，夯实中青年骨干人才梯队。</w:t>
      </w:r>
    </w:p>
    <w:p w14:paraId="3585E281">
      <w:pPr>
        <w:keepNext w:val="0"/>
        <w:keepLines w:val="0"/>
        <w:pageBreakBefore w:val="0"/>
        <w:kinsoku/>
        <w:wordWrap/>
        <w:overflowPunct w:val="0"/>
        <w:topLinePunct w:val="0"/>
        <w:autoSpaceDE/>
        <w:autoSpaceDN/>
        <w:bidi w:val="0"/>
        <w:spacing w:line="540" w:lineRule="exact"/>
        <w:ind w:firstLine="640" w:firstLineChars="200"/>
        <w:rPr>
          <w:rFonts w:hint="eastAsia" w:ascii="方正仿宋_GBK" w:hAnsi="方正仿宋_GBK" w:eastAsia="方正仿宋_GBK" w:cs="方正仿宋_GBK"/>
          <w:color w:val="auto"/>
          <w:kern w:val="2"/>
          <w:sz w:val="32"/>
          <w:szCs w:val="24"/>
          <w:lang w:val="en-US" w:eastAsia="zh-CN" w:bidi="ar-SA"/>
        </w:rPr>
      </w:pPr>
      <w:r>
        <w:rPr>
          <w:rFonts w:hint="eastAsia" w:ascii="方正仿宋_GBK" w:hAnsi="方正仿宋_GBK" w:eastAsia="方正仿宋_GBK" w:cs="方正仿宋_GBK"/>
          <w:color w:val="auto"/>
          <w:kern w:val="2"/>
          <w:sz w:val="32"/>
          <w:szCs w:val="24"/>
          <w:lang w:val="en-US" w:eastAsia="zh-CN" w:bidi="ar-SA"/>
        </w:rPr>
        <w:t>4. 传承发展山阳医派。推动江苏中医流派研究院山阳医派分院实质化运行，立足临床实际挖掘山阳医派经方验方价值，系统梳理学术思想与临证经验。布局建设一批山阳医派研究所，整合市县中医院、驻淮高校、市级中医药社会团体资源，健全院所协同运行机制，统筹推进学术研究、人才培养、技术推广、成果转化。加强山阳医派文化传播，持续开展“山阳名医基层行”活动。依托吴鞠通中医馆等综合平台，展现山阳医派历史成就与现代价值。推动医派产业创新转化，加强中药资源开发利用，构建以“名医、名方、名剂、名药、名厂”为支撑的现代山阳医派产业格局。</w:t>
      </w:r>
    </w:p>
    <w:p w14:paraId="3DA45588">
      <w:pPr>
        <w:keepNext w:val="0"/>
        <w:keepLines w:val="0"/>
        <w:pageBreakBefore w:val="0"/>
        <w:kinsoku/>
        <w:wordWrap/>
        <w:overflowPunct w:val="0"/>
        <w:topLinePunct w:val="0"/>
        <w:autoSpaceDE/>
        <w:autoSpaceDN/>
        <w:bidi w:val="0"/>
        <w:spacing w:line="540" w:lineRule="exact"/>
        <w:ind w:firstLine="640" w:firstLineChars="200"/>
        <w:textAlignment w:val="auto"/>
        <w:rPr>
          <w:rFonts w:hint="eastAsia" w:ascii="Times New Roman" w:hAnsi="楷体" w:eastAsia="方正楷体_GBK" w:cs="Times New Roman"/>
          <w:bCs/>
          <w:color w:val="000000" w:themeColor="text1"/>
          <w:sz w:val="32"/>
          <w:szCs w:val="32"/>
          <w:lang w:eastAsia="zh-CN"/>
        </w:rPr>
      </w:pPr>
      <w:r>
        <w:rPr>
          <w:rFonts w:hint="eastAsia" w:ascii="Times New Roman" w:hAnsi="楷体" w:eastAsia="方正楷体_GBK" w:cs="Times New Roman"/>
          <w:bCs/>
          <w:color w:val="000000" w:themeColor="text1"/>
          <w:sz w:val="32"/>
          <w:szCs w:val="32"/>
          <w:lang w:eastAsia="zh-CN"/>
        </w:rPr>
        <w:t>（五）聚力协调统筹，推进健康淮安建设</w:t>
      </w:r>
    </w:p>
    <w:p w14:paraId="462F4008">
      <w:pPr>
        <w:keepNext w:val="0"/>
        <w:keepLines w:val="0"/>
        <w:pageBreakBefore w:val="0"/>
        <w:widowControl w:val="0"/>
        <w:kinsoku/>
        <w:wordWrap/>
        <w:overflowPunct/>
        <w:topLinePunct w:val="0"/>
        <w:autoSpaceDE/>
        <w:autoSpaceDN/>
        <w:bidi w:val="0"/>
        <w:adjustRightInd/>
        <w:snapToGrid/>
        <w:spacing w:line="540" w:lineRule="exact"/>
        <w:ind w:firstLine="641"/>
        <w:textAlignment w:val="auto"/>
        <w:rPr>
          <w:rFonts w:hint="eastAsia" w:ascii="Times New Roman" w:hAnsi="方正仿宋_GBK" w:eastAsia="方正仿宋_GBK" w:cs="Times New Roman"/>
          <w:color w:val="000000"/>
          <w:kern w:val="2"/>
          <w:sz w:val="32"/>
          <w:szCs w:val="32"/>
          <w:lang w:val="en-US" w:eastAsia="zh-CN" w:bidi="ar-SA"/>
        </w:rPr>
      </w:pPr>
      <w:r>
        <w:rPr>
          <w:rFonts w:hint="eastAsia" w:ascii="Times New Roman" w:hAnsi="方正仿宋_GBK" w:eastAsia="方正仿宋_GBK" w:cs="Times New Roman"/>
          <w:color w:val="000000"/>
          <w:kern w:val="2"/>
          <w:sz w:val="32"/>
          <w:szCs w:val="32"/>
          <w:lang w:val="en-US" w:eastAsia="zh-CN" w:bidi="ar-SA"/>
        </w:rPr>
        <w:t>1.提高居民健康素养。实施健康优先发展战略，将促进健康的理念融入经济社会发展各领域全过程。强化健康科普宣传平台的共建共享，提升“健康在淮”等健康科普品牌的影响力，实施全民健康素养提升行动，引导群众自觉践行健康生活方式，促进全民健身和全民健康深度融合。实施控烟行动，强化控烟宣传，推进无烟环境建设。到2030年，全市居民健康素养水平保持在46%以上。</w:t>
      </w:r>
    </w:p>
    <w:p w14:paraId="7751D266">
      <w:pPr>
        <w:keepNext w:val="0"/>
        <w:keepLines w:val="0"/>
        <w:pageBreakBefore w:val="0"/>
        <w:widowControl w:val="0"/>
        <w:kinsoku/>
        <w:wordWrap/>
        <w:overflowPunct/>
        <w:topLinePunct w:val="0"/>
        <w:autoSpaceDE/>
        <w:autoSpaceDN/>
        <w:bidi w:val="0"/>
        <w:adjustRightInd/>
        <w:snapToGrid/>
        <w:spacing w:line="540" w:lineRule="exact"/>
        <w:ind w:firstLine="641"/>
        <w:textAlignment w:val="auto"/>
        <w:rPr>
          <w:rFonts w:hint="eastAsia" w:ascii="Times New Roman" w:hAnsi="方正仿宋_GBK" w:eastAsia="方正仿宋_GBK" w:cs="Times New Roman"/>
          <w:color w:val="000000"/>
          <w:kern w:val="2"/>
          <w:sz w:val="32"/>
          <w:szCs w:val="32"/>
          <w:lang w:val="en-US" w:eastAsia="zh-CN" w:bidi="ar-SA"/>
        </w:rPr>
      </w:pPr>
      <w:r>
        <w:rPr>
          <w:rFonts w:hint="eastAsia" w:ascii="Times New Roman" w:hAnsi="方正仿宋_GBK" w:eastAsia="方正仿宋_GBK" w:cs="Times New Roman"/>
          <w:color w:val="000000"/>
          <w:kern w:val="2"/>
          <w:sz w:val="32"/>
          <w:szCs w:val="32"/>
          <w:lang w:val="en-US" w:eastAsia="zh-CN" w:bidi="ar-SA"/>
        </w:rPr>
        <w:t>2.强化慢性病防控。完善慢性病综合防控工作机制，巩固慢性病综合防控示范区建设成果，推动盱眙县和涟水县积极创建国家级示范区。扎实开展慢性病及其危险因素监测，全面落实癌症、心脑血管疾病、慢性呼吸系统疾病、糖尿病防治和体重管理年专项行动方案，强化重大慢性病的筛查和早诊早治工作，发展防筛管治康全链条服务。发挥市癌症中心作用，以县级人民医院为依托，推动县域肿瘤防治中心建设。</w:t>
      </w:r>
    </w:p>
    <w:p w14:paraId="749704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方正仿宋_GBK" w:eastAsia="方正仿宋_GBK" w:cs="Times New Roman"/>
          <w:color w:val="000000"/>
          <w:kern w:val="2"/>
          <w:sz w:val="32"/>
          <w:szCs w:val="32"/>
          <w:lang w:val="en-US" w:eastAsia="zh-CN" w:bidi="ar-SA"/>
        </w:rPr>
      </w:pPr>
      <w:r>
        <w:rPr>
          <w:rFonts w:hint="eastAsia" w:ascii="Times New Roman" w:hAnsi="方正仿宋_GBK" w:eastAsia="方正仿宋_GBK" w:cs="Times New Roman"/>
          <w:color w:val="000000"/>
          <w:kern w:val="2"/>
          <w:sz w:val="32"/>
          <w:szCs w:val="32"/>
          <w:lang w:val="en-US" w:eastAsia="zh-CN" w:bidi="ar-SA"/>
        </w:rPr>
        <w:t>3.广泛开展爱国卫生运动。</w:t>
      </w:r>
      <w:r>
        <w:rPr>
          <w:rFonts w:hint="eastAsia" w:ascii="仿宋" w:hAnsi="仿宋" w:eastAsia="仿宋" w:cs="仿宋"/>
          <w:color w:val="000000"/>
          <w:kern w:val="2"/>
          <w:sz w:val="32"/>
          <w:szCs w:val="32"/>
          <w:lang w:val="en-US" w:eastAsia="zh-CN" w:bidi="ar-SA"/>
        </w:rPr>
        <w:t>开展新时代爱国卫生运动，建立健全</w:t>
      </w:r>
      <w:r>
        <w:rPr>
          <w:rFonts w:hint="eastAsia" w:ascii="仿宋" w:hAnsi="仿宋" w:eastAsia="仿宋" w:cs="仿宋"/>
          <w:color w:val="000000"/>
          <w:sz w:val="32"/>
          <w:szCs w:val="32"/>
        </w:rPr>
        <w:t>部门各负其责、协同配合的工作</w:t>
      </w:r>
      <w:r>
        <w:rPr>
          <w:rFonts w:hint="eastAsia" w:ascii="仿宋" w:hAnsi="仿宋" w:eastAsia="仿宋" w:cs="仿宋"/>
          <w:color w:val="000000"/>
          <w:sz w:val="32"/>
          <w:szCs w:val="32"/>
          <w:lang w:eastAsia="zh-CN"/>
        </w:rPr>
        <w:t>机制</w:t>
      </w:r>
      <w:r>
        <w:rPr>
          <w:rFonts w:hint="eastAsia" w:ascii="仿宋" w:hAnsi="仿宋" w:eastAsia="仿宋" w:cs="仿宋"/>
          <w:color w:val="000000"/>
          <w:kern w:val="2"/>
          <w:sz w:val="32"/>
          <w:szCs w:val="32"/>
          <w:lang w:val="en-US" w:eastAsia="zh-CN" w:bidi="ar-SA"/>
        </w:rPr>
        <w:t>。促进爱国卫生与基层治理工作相融合，</w:t>
      </w:r>
      <w:r>
        <w:rPr>
          <w:rFonts w:hint="eastAsia" w:ascii="仿宋" w:hAnsi="仿宋" w:eastAsia="仿宋" w:cs="仿宋"/>
          <w:snapToGrid w:val="0"/>
          <w:kern w:val="0"/>
          <w:sz w:val="32"/>
          <w:szCs w:val="32"/>
        </w:rPr>
        <w:t>发挥村（居）民委员会公共卫生委员会作用，广泛发动群众参与爱国卫生运动。加强城乡环境卫生整治，</w:t>
      </w:r>
      <w:r>
        <w:rPr>
          <w:rFonts w:hint="eastAsia" w:ascii="仿宋" w:hAnsi="仿宋" w:eastAsia="仿宋" w:cs="仿宋"/>
          <w:color w:val="000000"/>
          <w:kern w:val="2"/>
          <w:sz w:val="32"/>
          <w:szCs w:val="32"/>
          <w:lang w:val="en-US" w:eastAsia="zh-CN" w:bidi="ar-SA"/>
        </w:rPr>
        <w:t>完善卫生基础设施建设，</w:t>
      </w:r>
      <w:r>
        <w:rPr>
          <w:rFonts w:hint="eastAsia" w:ascii="仿宋" w:hAnsi="仿宋" w:eastAsia="仿宋" w:cs="仿宋"/>
          <w:snapToGrid w:val="0"/>
          <w:kern w:val="0"/>
          <w:sz w:val="32"/>
          <w:szCs w:val="32"/>
        </w:rPr>
        <w:t>科学实施病媒生物防制，降低传染病通过环境传播风险</w:t>
      </w:r>
      <w:r>
        <w:rPr>
          <w:rFonts w:hint="eastAsia" w:ascii="仿宋" w:hAnsi="仿宋" w:eastAsia="仿宋" w:cs="仿宋"/>
          <w:color w:val="000000"/>
          <w:kern w:val="2"/>
          <w:sz w:val="32"/>
          <w:szCs w:val="32"/>
          <w:lang w:val="en-US" w:eastAsia="zh-CN" w:bidi="ar-SA"/>
        </w:rPr>
        <w:t>。</w:t>
      </w:r>
    </w:p>
    <w:p w14:paraId="3FAFAC1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方正仿宋_GBK" w:cs="Times New Roman"/>
          <w:snapToGrid w:val="0"/>
          <w:kern w:val="0"/>
          <w:sz w:val="32"/>
          <w:szCs w:val="32"/>
        </w:rPr>
      </w:pPr>
      <w:r>
        <w:rPr>
          <w:rFonts w:hint="eastAsia" w:ascii="Times New Roman" w:hAnsi="Times New Roman" w:eastAsia="方正仿宋_GBK" w:cs="Times New Roman"/>
          <w:snapToGrid w:val="0"/>
          <w:kern w:val="0"/>
          <w:sz w:val="32"/>
          <w:szCs w:val="32"/>
          <w:lang w:val="en-US" w:eastAsia="zh-CN"/>
        </w:rPr>
        <w:t>4.深入推进健康城市建设。巩固全国健康城市建设样板市建设成果。</w:t>
      </w:r>
      <w:r>
        <w:rPr>
          <w:rFonts w:hint="eastAsia" w:ascii="仿宋" w:hAnsi="仿宋" w:eastAsia="仿宋" w:cs="仿宋"/>
          <w:snapToGrid w:val="0"/>
          <w:kern w:val="0"/>
          <w:sz w:val="32"/>
          <w:szCs w:val="32"/>
          <w:lang w:val="en-US" w:eastAsia="zh-CN"/>
        </w:rPr>
        <w:t>积极参与</w:t>
      </w:r>
      <w:r>
        <w:rPr>
          <w:rFonts w:hint="eastAsia" w:ascii="仿宋" w:hAnsi="仿宋" w:eastAsia="仿宋" w:cs="仿宋"/>
          <w:snapToGrid w:val="0"/>
          <w:kern w:val="0"/>
          <w:sz w:val="32"/>
          <w:szCs w:val="32"/>
        </w:rPr>
        <w:t>全国健康城镇创建</w:t>
      </w:r>
      <w:r>
        <w:rPr>
          <w:rFonts w:hint="eastAsia" w:ascii="仿宋" w:hAnsi="仿宋" w:eastAsia="仿宋" w:cs="仿宋"/>
          <w:snapToGrid w:val="0"/>
          <w:kern w:val="0"/>
          <w:sz w:val="32"/>
          <w:szCs w:val="32"/>
          <w:lang w:eastAsia="zh-CN"/>
        </w:rPr>
        <w:t>活动</w:t>
      </w:r>
      <w:r>
        <w:rPr>
          <w:rFonts w:hint="eastAsia" w:ascii="仿宋" w:hAnsi="仿宋" w:eastAsia="仿宋" w:cs="仿宋"/>
          <w:snapToGrid w:val="0"/>
          <w:kern w:val="0"/>
          <w:sz w:val="32"/>
          <w:szCs w:val="32"/>
        </w:rPr>
        <w:t>，促进社会治理与人的健康协调发展。</w:t>
      </w:r>
      <w:r>
        <w:rPr>
          <w:rFonts w:hint="eastAsia" w:ascii="仿宋" w:hAnsi="仿宋" w:eastAsia="仿宋" w:cs="仿宋"/>
          <w:snapToGrid w:val="0"/>
          <w:kern w:val="0"/>
          <w:sz w:val="32"/>
          <w:szCs w:val="32"/>
          <w:lang w:val="en-US" w:eastAsia="zh-CN"/>
        </w:rPr>
        <w:t>积极开展健康乡村建设，实现卫生健康事业高质量发展和乡村全面振兴的协同发展</w:t>
      </w:r>
      <w:r>
        <w:rPr>
          <w:rFonts w:hint="eastAsia" w:ascii="Times New Roman" w:hAnsi="Times New Roman" w:eastAsia="方正仿宋_GBK" w:cs="Times New Roman"/>
          <w:snapToGrid w:val="0"/>
          <w:kern w:val="0"/>
          <w:sz w:val="32"/>
          <w:szCs w:val="32"/>
        </w:rPr>
        <w:t>。</w:t>
      </w:r>
    </w:p>
    <w:p w14:paraId="10903957">
      <w:pPr>
        <w:keepNext w:val="0"/>
        <w:keepLines w:val="0"/>
        <w:pageBreakBefore w:val="0"/>
        <w:kinsoku/>
        <w:wordWrap/>
        <w:topLinePunct w:val="0"/>
        <w:autoSpaceDE/>
        <w:autoSpaceDN/>
        <w:bidi w:val="0"/>
        <w:spacing w:line="540" w:lineRule="exact"/>
        <w:ind w:firstLine="640"/>
        <w:contextualSpacing/>
        <w:rPr>
          <w:rFonts w:hint="eastAsia" w:ascii="Times New Roman" w:hAnsi="楷体" w:eastAsia="方正楷体_GBK" w:cs="Times New Roman"/>
          <w:bCs/>
          <w:color w:val="000000" w:themeColor="text1"/>
          <w:sz w:val="32"/>
          <w:szCs w:val="32"/>
          <w:lang w:eastAsia="zh-CN"/>
        </w:rPr>
      </w:pPr>
      <w:r>
        <w:rPr>
          <w:rFonts w:hint="eastAsia" w:ascii="Times New Roman" w:hAnsi="楷体" w:eastAsia="方正楷体_GBK" w:cs="Times New Roman"/>
          <w:bCs/>
          <w:color w:val="000000" w:themeColor="text1"/>
          <w:sz w:val="32"/>
          <w:szCs w:val="32"/>
          <w:lang w:eastAsia="zh-CN"/>
        </w:rPr>
        <w:t>（六）聚力靶向施策，保障重点人群健康</w:t>
      </w:r>
    </w:p>
    <w:p w14:paraId="45D63C0D">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contextualSpacing/>
        <w:textAlignment w:val="baseline"/>
        <w:outlineLvl w:val="2"/>
        <w:rPr>
          <w:rFonts w:hint="eastAsia" w:ascii="Times New Roman" w:hAnsi="方正仿宋_GBK" w:eastAsia="方正仿宋_GBK" w:cs="Times New Roman"/>
          <w:color w:val="000000"/>
          <w:kern w:val="2"/>
          <w:sz w:val="32"/>
          <w:szCs w:val="32"/>
          <w:lang w:val="en-US" w:eastAsia="zh-CN" w:bidi="ar-SA"/>
        </w:rPr>
      </w:pPr>
      <w:r>
        <w:rPr>
          <w:rFonts w:hint="eastAsia" w:ascii="Times New Roman" w:hAnsi="方正仿宋_GBK" w:eastAsia="方正仿宋_GBK" w:cs="Times New Roman"/>
          <w:color w:val="000000"/>
          <w:kern w:val="2"/>
          <w:sz w:val="32"/>
          <w:szCs w:val="32"/>
          <w:lang w:val="en-US" w:eastAsia="zh-CN" w:bidi="ar-SA"/>
        </w:rPr>
        <w:t>1.加强妇女健康服务。持续聚焦妇女全生命周期、全过程，推动乳腺癌和宫颈癌早筛早诊早治，全面实施适龄女童国家免疫规划人乳头瘤病毒（HPV）疫苗免费接种，巩固艾滋病、梅毒、乙肝母婴传播消除成果。强化妊娠风险评估和高危专案管理，提升危急重症救治能力。</w:t>
      </w:r>
    </w:p>
    <w:p w14:paraId="34738CDE">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contextualSpacing/>
        <w:textAlignment w:val="baseline"/>
        <w:outlineLvl w:val="2"/>
        <w:rPr>
          <w:rFonts w:hint="eastAsia" w:ascii="Times New Roman" w:hAnsi="方正仿宋_GBK" w:eastAsia="方正仿宋_GBK" w:cs="Times New Roman"/>
          <w:color w:val="000000"/>
          <w:kern w:val="2"/>
          <w:sz w:val="32"/>
          <w:szCs w:val="32"/>
          <w:lang w:val="en-US" w:eastAsia="zh-CN" w:bidi="ar-SA"/>
        </w:rPr>
      </w:pPr>
      <w:r>
        <w:rPr>
          <w:rFonts w:hint="eastAsia" w:ascii="Times New Roman" w:hAnsi="方正仿宋_GBK" w:eastAsia="方正仿宋_GBK" w:cs="Times New Roman"/>
          <w:color w:val="000000"/>
          <w:kern w:val="2"/>
          <w:sz w:val="32"/>
          <w:szCs w:val="32"/>
          <w:lang w:val="en-US" w:eastAsia="zh-CN" w:bidi="ar-SA"/>
        </w:rPr>
        <w:t>2.强化儿童青少年健康服务。深入实施出生缺陷防治能力提升计划，逐步扩增出生缺陷筛查病种，建成1个新生儿出生缺陷综合诊治中心。深入实施儿童青少年“五健”促进行动，0-6岁儿童接孤独症初筛率稳定在80%以上，0-6岁儿童健康管理率稳定在95%以上。</w:t>
      </w:r>
    </w:p>
    <w:p w14:paraId="36B11940">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640" w:firstLineChars="200"/>
        <w:contextualSpacing/>
        <w:textAlignment w:val="baseline"/>
        <w:outlineLvl w:val="2"/>
        <w:rPr>
          <w:rFonts w:hint="eastAsia" w:ascii="Times New Roman" w:hAnsi="方正仿宋_GBK" w:eastAsia="方正仿宋_GBK" w:cs="Times New Roman"/>
          <w:color w:val="000000"/>
          <w:kern w:val="2"/>
          <w:sz w:val="32"/>
          <w:szCs w:val="32"/>
          <w:lang w:val="en-US" w:eastAsia="zh-CN" w:bidi="ar-SA"/>
        </w:rPr>
      </w:pPr>
      <w:r>
        <w:rPr>
          <w:rFonts w:hint="eastAsia" w:ascii="Times New Roman" w:hAnsi="方正仿宋_GBK" w:eastAsia="方正仿宋_GBK" w:cs="Times New Roman"/>
          <w:color w:val="000000"/>
          <w:kern w:val="2"/>
          <w:sz w:val="32"/>
          <w:szCs w:val="32"/>
          <w:lang w:val="en-US" w:eastAsia="zh-CN" w:bidi="ar-SA"/>
        </w:rPr>
        <w:t>3.优化老年健康服务。大力实施老年口腔健康、听力健康、心理关爱、营养改善等健康促进专项行动。 加快推进市老年医院高质量发展，推动二级及以上综合性医院老年医学科规范化建设，加快安宁疗护病床按需设置。深入推进医养结合促进行动，发展社区和居家医养结合服务，提升基层长期护理服务供给。加强老年人健康管理，开展老年人认知功能筛查和早期干预。</w:t>
      </w:r>
    </w:p>
    <w:p w14:paraId="3DCBCE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方正仿宋_GBK" w:eastAsia="方正仿宋_GBK" w:cs="Times New Roman"/>
          <w:color w:val="000000"/>
          <w:kern w:val="2"/>
          <w:sz w:val="32"/>
          <w:szCs w:val="32"/>
          <w:lang w:val="en-US" w:eastAsia="zh-CN" w:bidi="ar-SA"/>
        </w:rPr>
      </w:pPr>
      <w:r>
        <w:rPr>
          <w:rFonts w:hint="eastAsia" w:ascii="Times New Roman" w:hAnsi="方正仿宋_GBK" w:eastAsia="方正仿宋_GBK" w:cs="Times New Roman"/>
          <w:color w:val="000000"/>
          <w:kern w:val="2"/>
          <w:sz w:val="32"/>
          <w:szCs w:val="32"/>
          <w:lang w:val="en-US" w:eastAsia="zh-CN" w:bidi="ar-SA"/>
        </w:rPr>
        <w:t>4.加强精神卫生服务。加强心理健康和精神卫生服务。完善心理健康和精神卫生服务网络，做强市三院省级区域精神医疗中心，发挥淮安市家庭教育咨询中心作用。推动二级以上综合医院、农村区域医疗中心及有条件基层机构开设精神（心理）门诊。开展医师转岗培训扩充精神科医师队伍。依托市心理健康促进中心，强化12356心理援助热线建设和运用。组建心理健康宣讲团常态化进机关、校园、企业开展心理科普。规范严重精神障碍患者筛查、登记、诊断、收治、随访和居家指导。</w:t>
      </w:r>
    </w:p>
    <w:p w14:paraId="40CE2CA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方正仿宋_GBK" w:eastAsia="方正仿宋_GBK" w:cs="Times New Roman"/>
          <w:color w:val="000000"/>
          <w:kern w:val="2"/>
          <w:sz w:val="32"/>
          <w:szCs w:val="32"/>
          <w:lang w:val="en-US" w:eastAsia="zh-CN" w:bidi="ar-SA"/>
        </w:rPr>
      </w:pPr>
      <w:r>
        <w:rPr>
          <w:rFonts w:hint="eastAsia" w:ascii="Times New Roman" w:hAnsi="方正仿宋_GBK" w:eastAsia="方正仿宋_GBK" w:cs="Times New Roman"/>
          <w:color w:val="000000"/>
          <w:kern w:val="2"/>
          <w:sz w:val="32"/>
          <w:szCs w:val="32"/>
          <w:lang w:val="en-US" w:eastAsia="zh-CN" w:bidi="ar-SA"/>
        </w:rPr>
        <w:t>5.强化职业人群健康保护。做实做优年度职业病防治项目，逐步构建覆盖新就业形态的职业人群保护体系。深入开展铅酸电池、高毒物品、粉尘等重点行业职业病危害专项整治，推进用人单位职业卫生分级分类监督执法，遏制新发职业病病例发生，夯实用人单位主体责任。</w:t>
      </w:r>
    </w:p>
    <w:p w14:paraId="1224162B">
      <w:pPr>
        <w:keepNext w:val="0"/>
        <w:keepLines w:val="0"/>
        <w:pageBreakBefore w:val="0"/>
        <w:kinsoku/>
        <w:wordWrap/>
        <w:overflowPunct w:val="0"/>
        <w:topLinePunct w:val="0"/>
        <w:autoSpaceDE/>
        <w:autoSpaceDN/>
        <w:bidi w:val="0"/>
        <w:spacing w:line="540" w:lineRule="exact"/>
        <w:ind w:firstLine="640" w:firstLineChars="200"/>
        <w:rPr>
          <w:rFonts w:hint="eastAsia" w:ascii="Times New Roman" w:hAnsi="方正仿宋_GBK" w:eastAsia="方正楷体_GBK" w:cs="Times New Roman"/>
          <w:color w:val="FF0000"/>
          <w:sz w:val="32"/>
          <w:szCs w:val="32"/>
          <w:lang w:eastAsia="zh-CN"/>
        </w:rPr>
      </w:pPr>
      <w:r>
        <w:rPr>
          <w:rFonts w:hint="eastAsia" w:ascii="Times New Roman" w:hAnsi="楷体" w:eastAsia="方正楷体_GBK" w:cs="Times New Roman"/>
          <w:bCs/>
          <w:color w:val="000000" w:themeColor="text1"/>
          <w:sz w:val="32"/>
          <w:szCs w:val="32"/>
        </w:rPr>
        <w:t>（七）聚力和谐均衡，构建生育友好社会</w:t>
      </w:r>
    </w:p>
    <w:p w14:paraId="0D12DC98">
      <w:pPr>
        <w:keepNext w:val="0"/>
        <w:keepLines w:val="0"/>
        <w:pageBreakBefore w:val="0"/>
        <w:kinsoku/>
        <w:wordWrap/>
        <w:topLinePunct w:val="0"/>
        <w:autoSpaceDE/>
        <w:autoSpaceDN/>
        <w:bidi w:val="0"/>
        <w:spacing w:line="540" w:lineRule="exact"/>
        <w:ind w:firstLine="640" w:firstLineChars="200"/>
        <w:rPr>
          <w:rFonts w:ascii="Times New Roman" w:hAnsi="方正仿宋_GBK" w:eastAsia="方正仿宋_GBK" w:cs="Times New Roman"/>
          <w:color w:val="000000" w:themeColor="text1"/>
          <w:sz w:val="32"/>
          <w:szCs w:val="32"/>
        </w:rPr>
      </w:pPr>
      <w:r>
        <w:rPr>
          <w:rFonts w:hint="eastAsia" w:ascii="Times New Roman" w:hAnsi="方正仿宋_GBK" w:eastAsia="方正仿宋_GBK" w:cs="Times New Roman"/>
          <w:color w:val="000000" w:themeColor="text1"/>
          <w:sz w:val="32"/>
          <w:szCs w:val="32"/>
        </w:rPr>
        <w:t>1.完善生育支持政策。完善生育支持政策和激励措施，有效降低生育、养育、教育成本。加强生育医疗保障，落实分娩镇痛、辅助生殖技术和无创产前基因诊断服务纳入医保支付政策，优化产科类、儿科类医疗服务项目，做好医保和孕产妇保健基本公共卫生服务项目衔接。完善生育休假和生育津贴制度，优化生育假期成本共担机制，落实育儿补贴制度和3岁以下婴幼儿照护、子女教育个人所得税专项附加扣除等政策。强化教育、住房、就业等支持措施，推动建设家庭友好型工作场所。</w:t>
      </w:r>
    </w:p>
    <w:p w14:paraId="1FA294E5">
      <w:pPr>
        <w:keepNext w:val="0"/>
        <w:keepLines w:val="0"/>
        <w:pageBreakBefore w:val="0"/>
        <w:kinsoku/>
        <w:wordWrap/>
        <w:topLinePunct w:val="0"/>
        <w:autoSpaceDE/>
        <w:autoSpaceDN/>
        <w:bidi w:val="0"/>
        <w:spacing w:line="540" w:lineRule="exact"/>
        <w:ind w:firstLine="640" w:firstLineChars="200"/>
        <w:rPr>
          <w:rFonts w:hint="eastAsia" w:ascii="Times New Roman" w:hAnsi="方正仿宋_GBK" w:eastAsia="方正仿宋_GBK" w:cs="Times New Roman"/>
          <w:color w:val="000000" w:themeColor="text1"/>
          <w:sz w:val="32"/>
          <w:szCs w:val="32"/>
        </w:rPr>
      </w:pPr>
      <w:r>
        <w:rPr>
          <w:rFonts w:hint="eastAsia" w:ascii="Times New Roman" w:hAnsi="方正仿宋_GBK" w:eastAsia="方正仿宋_GBK" w:cs="Times New Roman"/>
          <w:color w:val="000000" w:themeColor="text1"/>
          <w:sz w:val="32"/>
          <w:szCs w:val="32"/>
        </w:rPr>
        <w:t>2.</w:t>
      </w:r>
      <w:r>
        <w:rPr>
          <w:rFonts w:hint="eastAsia" w:ascii="Times New Roman" w:hAnsi="方正仿宋_GBK" w:eastAsia="方正仿宋_GBK" w:cs="Times New Roman"/>
          <w:color w:val="000000" w:themeColor="text1"/>
          <w:sz w:val="32"/>
          <w:szCs w:val="32"/>
          <w:lang w:eastAsia="zh-CN"/>
        </w:rPr>
        <w:t>优化生殖健康服务。</w:t>
      </w:r>
      <w:r>
        <w:rPr>
          <w:rFonts w:hint="eastAsia" w:ascii="Times New Roman" w:hAnsi="方正仿宋_GBK" w:eastAsia="方正仿宋_GBK" w:cs="Times New Roman"/>
          <w:color w:val="000000" w:themeColor="text1"/>
          <w:sz w:val="32"/>
          <w:szCs w:val="32"/>
          <w:lang w:val="en-US" w:eastAsia="zh-CN"/>
        </w:rPr>
        <w:t>加大生育友好医院建设力度，改善住院分娩条件</w:t>
      </w:r>
      <w:r>
        <w:rPr>
          <w:rFonts w:hint="default" w:ascii="Times New Roman" w:hAnsi="方正仿宋_GBK" w:eastAsia="方正仿宋_GBK" w:cs="Times New Roman"/>
          <w:color w:val="000000" w:themeColor="text1"/>
          <w:sz w:val="32"/>
          <w:szCs w:val="32"/>
          <w:lang w:val="en-US" w:eastAsia="zh-CN"/>
        </w:rPr>
        <w:t>。</w:t>
      </w:r>
      <w:r>
        <w:rPr>
          <w:rFonts w:hint="eastAsia" w:ascii="Times New Roman" w:hAnsi="方正仿宋_GBK" w:eastAsia="方正仿宋_GBK" w:cs="Times New Roman"/>
          <w:color w:val="000000" w:themeColor="text1"/>
          <w:sz w:val="32"/>
          <w:szCs w:val="32"/>
        </w:rPr>
        <w:t>深入推进早孕关爱行动，全</w:t>
      </w:r>
      <w:r>
        <w:rPr>
          <w:rFonts w:hint="eastAsia" w:ascii="Times New Roman" w:hAnsi="方正仿宋_GBK" w:eastAsia="方正仿宋_GBK" w:cs="Times New Roman"/>
          <w:color w:val="000000" w:themeColor="text1"/>
          <w:sz w:val="32"/>
          <w:szCs w:val="32"/>
          <w:lang w:val="en-US" w:eastAsia="zh-CN"/>
        </w:rPr>
        <w:t>市</w:t>
      </w:r>
      <w:r>
        <w:rPr>
          <w:rFonts w:hint="eastAsia" w:ascii="Times New Roman" w:hAnsi="方正仿宋_GBK" w:eastAsia="方正仿宋_GBK" w:cs="Times New Roman"/>
          <w:color w:val="000000" w:themeColor="text1"/>
          <w:sz w:val="32"/>
          <w:szCs w:val="32"/>
        </w:rPr>
        <w:t>助产机构全部开设早孕门诊</w:t>
      </w:r>
      <w:r>
        <w:rPr>
          <w:rFonts w:hint="eastAsia" w:ascii="Times New Roman" w:hAnsi="方正仿宋_GBK" w:eastAsia="方正仿宋_GBK" w:cs="Times New Roman"/>
          <w:color w:val="000000" w:themeColor="text1"/>
          <w:sz w:val="32"/>
          <w:szCs w:val="32"/>
          <w:lang w:eastAsia="zh-CN"/>
        </w:rPr>
        <w:t>，</w:t>
      </w:r>
      <w:r>
        <w:rPr>
          <w:rFonts w:hint="eastAsia" w:ascii="Times New Roman" w:hAnsi="方正仿宋_GBK" w:eastAsia="方正仿宋_GBK" w:cs="Times New Roman"/>
          <w:color w:val="000000" w:themeColor="text1"/>
          <w:sz w:val="32"/>
          <w:szCs w:val="32"/>
        </w:rPr>
        <w:t>探索建立早孕关爱服务激励机制。</w:t>
      </w:r>
      <w:r>
        <w:rPr>
          <w:rFonts w:hint="eastAsia" w:ascii="Times New Roman" w:hAnsi="方正仿宋_GBK" w:eastAsia="方正仿宋_GBK" w:cs="Times New Roman"/>
          <w:color w:val="000000" w:themeColor="text1"/>
          <w:sz w:val="32"/>
          <w:szCs w:val="32"/>
          <w:lang w:eastAsia="zh-CN"/>
        </w:rPr>
        <w:t>强</w:t>
      </w:r>
      <w:r>
        <w:rPr>
          <w:rFonts w:hint="eastAsia" w:ascii="Times New Roman" w:hAnsi="方正仿宋_GBK" w:eastAsia="方正仿宋_GBK" w:cs="Times New Roman"/>
          <w:color w:val="000000" w:themeColor="text1"/>
          <w:sz w:val="32"/>
          <w:szCs w:val="32"/>
        </w:rPr>
        <w:t>化育龄人群生育力评估和分类指导干预，每个县（市、区）至少开设1个生育力评估门诊。加强不孕不育防治网络建设，规范做好不孕不育诊治</w:t>
      </w:r>
      <w:r>
        <w:rPr>
          <w:rFonts w:hint="eastAsia" w:ascii="Times New Roman" w:hAnsi="方正仿宋_GBK" w:eastAsia="方正仿宋_GBK" w:cs="Times New Roman"/>
          <w:color w:val="000000" w:themeColor="text1"/>
          <w:sz w:val="32"/>
          <w:szCs w:val="32"/>
          <w:lang w:eastAsia="zh-CN"/>
        </w:rPr>
        <w:t>，</w:t>
      </w:r>
      <w:r>
        <w:rPr>
          <w:rFonts w:hint="eastAsia" w:ascii="Times New Roman" w:hAnsi="方正仿宋_GBK" w:eastAsia="方正仿宋_GBK" w:cs="Times New Roman"/>
          <w:color w:val="000000" w:themeColor="text1"/>
          <w:sz w:val="32"/>
          <w:szCs w:val="32"/>
        </w:rPr>
        <w:t>建成1家不孕不育防治中心</w:t>
      </w:r>
      <w:r>
        <w:rPr>
          <w:rFonts w:hint="eastAsia" w:ascii="Times New Roman" w:hAnsi="方正仿宋_GBK" w:eastAsia="方正仿宋_GBK" w:cs="Times New Roman"/>
          <w:color w:val="000000" w:themeColor="text1"/>
          <w:sz w:val="32"/>
          <w:szCs w:val="32"/>
          <w:lang w:eastAsia="zh-CN"/>
        </w:rPr>
        <w:t>。</w:t>
      </w:r>
      <w:r>
        <w:rPr>
          <w:rFonts w:hint="eastAsia" w:ascii="Times New Roman" w:hAnsi="方正仿宋_GBK" w:eastAsia="方正仿宋_GBK" w:cs="Times New Roman"/>
          <w:color w:val="000000" w:themeColor="text1"/>
          <w:sz w:val="32"/>
          <w:szCs w:val="32"/>
        </w:rPr>
        <w:t>严格人类辅助生殖技术服务监管。</w:t>
      </w:r>
    </w:p>
    <w:p w14:paraId="49A7B31F">
      <w:pPr>
        <w:keepNext w:val="0"/>
        <w:keepLines w:val="0"/>
        <w:pageBreakBefore w:val="0"/>
        <w:shd w:val="clear" w:color="auto" w:fill="FFFFFF"/>
        <w:kinsoku/>
        <w:wordWrap/>
        <w:topLinePunct w:val="0"/>
        <w:autoSpaceDE/>
        <w:autoSpaceDN/>
        <w:bidi w:val="0"/>
        <w:spacing w:line="540" w:lineRule="exact"/>
        <w:ind w:firstLine="640" w:firstLineChars="200"/>
        <w:contextualSpacing/>
        <w:textAlignment w:val="baseline"/>
        <w:rPr>
          <w:rFonts w:ascii="Times New Roman" w:hAnsi="Times New Roman" w:eastAsia="方正仿宋_GBK" w:cs="Times New Roman"/>
          <w:b/>
          <w:snapToGrid w:val="0"/>
          <w:kern w:val="0"/>
          <w:sz w:val="32"/>
          <w:szCs w:val="32"/>
        </w:rPr>
      </w:pPr>
      <w:r>
        <w:rPr>
          <w:rFonts w:hint="eastAsia" w:ascii="Times New Roman" w:hAnsi="方正仿宋_GBK" w:eastAsia="方正仿宋_GBK" w:cs="Times New Roman"/>
          <w:color w:val="000000" w:themeColor="text1"/>
          <w:sz w:val="32"/>
          <w:szCs w:val="32"/>
        </w:rPr>
        <w:t>3.发展多元托育服务。结合常住人口规模和婴幼儿家庭实际需求，优化托育服务精准供给。发展普惠托育和托幼一体化服务，因地制宜发展社区办托、用人单位办托等形式的托育服务。完善普惠托育服务价格形成机制，落实普惠托育机构运营补助、、社区托育服务税费优惠等支持政策，探索建立困难家庭和多子女家庭入托制度。深入开展托育服务质量提升行动，发挥市、县托育综合服务中心托、教、研、训综合服务功能，加强医育结合，强化托育人才培训，促进托育机构规范化多元化品牌化发展。</w:t>
      </w:r>
      <w:r>
        <w:rPr>
          <w:rFonts w:ascii="Times New Roman" w:hAnsi="Times New Roman" w:eastAsia="方正仿宋_GBK" w:cs="Times New Roman"/>
          <w:snapToGrid w:val="0"/>
          <w:kern w:val="0"/>
          <w:sz w:val="32"/>
          <w:szCs w:val="32"/>
        </w:rPr>
        <w:t>到2030年，普惠托位占比达到85%左右，托育服务质量和入托率进一步提升</w:t>
      </w:r>
      <w:r>
        <w:rPr>
          <w:rFonts w:hint="eastAsia" w:ascii="Times New Roman" w:hAnsi="Times New Roman" w:eastAsia="方正仿宋_GBK" w:cs="Times New Roman"/>
          <w:snapToGrid w:val="0"/>
          <w:kern w:val="0"/>
          <w:sz w:val="32"/>
          <w:szCs w:val="32"/>
        </w:rPr>
        <w:t>。</w:t>
      </w:r>
    </w:p>
    <w:p w14:paraId="143D4215">
      <w:pPr>
        <w:keepNext w:val="0"/>
        <w:keepLines w:val="0"/>
        <w:pageBreakBefore w:val="0"/>
        <w:kinsoku/>
        <w:wordWrap/>
        <w:topLinePunct w:val="0"/>
        <w:autoSpaceDE/>
        <w:autoSpaceDN/>
        <w:bidi w:val="0"/>
        <w:spacing w:line="540" w:lineRule="exact"/>
        <w:ind w:firstLine="640" w:firstLineChars="200"/>
        <w:rPr>
          <w:rFonts w:ascii="Times New Roman" w:hAnsi="楷体" w:eastAsia="方正楷体_GBK" w:cs="Times New Roman"/>
          <w:bCs/>
          <w:color w:val="000000" w:themeColor="text1"/>
          <w:sz w:val="32"/>
          <w:szCs w:val="32"/>
        </w:rPr>
      </w:pPr>
      <w:r>
        <w:rPr>
          <w:rFonts w:hint="eastAsia" w:ascii="Times New Roman" w:hAnsi="方正仿宋_GBK" w:eastAsia="方正仿宋_GBK" w:cs="Times New Roman"/>
          <w:color w:val="000000" w:themeColor="text1"/>
          <w:sz w:val="32"/>
          <w:szCs w:val="32"/>
        </w:rPr>
        <w:t>4.加强社会宣传倡导。</w:t>
      </w:r>
      <w:r>
        <w:rPr>
          <w:rFonts w:hint="eastAsia" w:ascii="方正仿宋_GBK" w:hAnsi="方正仿宋_GBK" w:eastAsia="方正仿宋_GBK" w:cs="方正仿宋_GBK"/>
          <w:sz w:val="32"/>
          <w:szCs w:val="32"/>
        </w:rPr>
        <w:t>广泛开展人口高质量发展宣传教育，</w:t>
      </w:r>
      <w:r>
        <w:rPr>
          <w:rFonts w:hint="eastAsia" w:ascii="Times New Roman" w:hAnsi="方正仿宋_GBK" w:eastAsia="方正仿宋_GBK" w:cs="Times New Roman"/>
          <w:color w:val="000000" w:themeColor="text1"/>
          <w:sz w:val="32"/>
          <w:szCs w:val="32"/>
        </w:rPr>
        <w:t>加强婚恋观、生育观、家庭观教育引导，大力倡导适龄婚育、优生优育，尊重生育的社会价值和</w:t>
      </w:r>
      <w:r>
        <w:rPr>
          <w:rFonts w:hint="eastAsia" w:ascii="方正仿宋_GBK" w:hAnsi="方正仿宋_GBK" w:eastAsia="方正仿宋_GBK" w:cs="方正仿宋_GBK"/>
          <w:sz w:val="32"/>
          <w:szCs w:val="32"/>
        </w:rPr>
        <w:t>积极婚育观</w:t>
      </w:r>
      <w:r>
        <w:rPr>
          <w:rFonts w:hint="eastAsia" w:ascii="Times New Roman" w:hAnsi="方正仿宋_GBK" w:eastAsia="方正仿宋_GBK" w:cs="Times New Roman"/>
          <w:color w:val="000000" w:themeColor="text1"/>
          <w:sz w:val="32"/>
          <w:szCs w:val="32"/>
        </w:rPr>
        <w:t>，鼓励夫妻共担育儿责任，推动形成社会主义家庭文明新风尚。广泛开展人口家庭政策解读，主动回应社会关切，营造生育友好的社会环境。</w:t>
      </w:r>
    </w:p>
    <w:p w14:paraId="1B599C11">
      <w:pPr>
        <w:keepNext w:val="0"/>
        <w:keepLines w:val="0"/>
        <w:pageBreakBefore w:val="0"/>
        <w:kinsoku/>
        <w:wordWrap/>
        <w:overflowPunct w:val="0"/>
        <w:topLinePunct w:val="0"/>
        <w:autoSpaceDE/>
        <w:autoSpaceDN/>
        <w:bidi w:val="0"/>
        <w:spacing w:line="540" w:lineRule="exact"/>
        <w:ind w:firstLine="640" w:firstLineChars="200"/>
        <w:textAlignment w:val="auto"/>
        <w:rPr>
          <w:rFonts w:hint="eastAsia" w:ascii="Times New Roman" w:hAnsi="楷体" w:eastAsia="方正楷体_GBK" w:cs="Times New Roman"/>
          <w:bCs/>
          <w:color w:val="FF0000"/>
          <w:sz w:val="32"/>
          <w:szCs w:val="32"/>
          <w:lang w:eastAsia="zh-CN"/>
        </w:rPr>
      </w:pPr>
      <w:r>
        <w:rPr>
          <w:rFonts w:hint="eastAsia" w:ascii="Times New Roman" w:hAnsi="楷体" w:eastAsia="方正楷体_GBK" w:cs="Times New Roman"/>
          <w:bCs/>
          <w:color w:val="000000" w:themeColor="text1"/>
          <w:sz w:val="32"/>
          <w:szCs w:val="32"/>
          <w:lang w:eastAsia="zh-CN"/>
        </w:rPr>
        <w:t>（八）聚力科创引领，提升医学创新水平</w:t>
      </w:r>
    </w:p>
    <w:p w14:paraId="4DF9CBEA">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方正仿宋_GBK" w:eastAsia="方正仿宋_GBK" w:cs="Times New Roman"/>
          <w:color w:val="000000" w:themeColor="text1"/>
          <w:sz w:val="32"/>
          <w:szCs w:val="32"/>
          <w:lang w:val="en-US" w:eastAsia="zh-CN"/>
        </w:rPr>
      </w:pPr>
      <w:r>
        <w:rPr>
          <w:rFonts w:hint="eastAsia" w:ascii="Times New Roman" w:hAnsi="方正仿宋_GBK" w:eastAsia="方正仿宋_GBK" w:cs="Times New Roman"/>
          <w:color w:val="000000" w:themeColor="text1"/>
          <w:kern w:val="2"/>
          <w:sz w:val="32"/>
          <w:szCs w:val="32"/>
          <w:lang w:val="en-US" w:eastAsia="zh-CN" w:bidi="ar-SA"/>
        </w:rPr>
        <w:t>1.优化科技创新平台布局</w:t>
      </w:r>
      <w:r>
        <w:rPr>
          <w:rFonts w:hint="eastAsia" w:ascii="Times New Roman" w:hAnsi="方正仿宋_GBK" w:eastAsia="方正仿宋_GBK" w:cs="Times New Roman"/>
          <w:color w:val="000000" w:themeColor="text1"/>
          <w:sz w:val="32"/>
          <w:szCs w:val="32"/>
          <w:lang w:val="en-US" w:eastAsia="zh-CN"/>
        </w:rPr>
        <w:t>。完善全市卫生健康科技创新体系，积极对接省卫生健康科技创新“登峰计划”，梯度培育建设医学科技创新载体，遴选建设10个市医学重点学科/实验室，争取建设国家级、省级科研平台1—2个，力争新建1—2个省级医学重点学科/实验室（建设单位），支持专病研究队列建设。紧扣国家健康产业升级要求，支持有条件的医院建设研究型病房，设置研究型床位。</w:t>
      </w:r>
    </w:p>
    <w:p w14:paraId="5E52EE6F">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方正仿宋_GBK" w:eastAsia="方正仿宋_GBK" w:cs="Times New Roman"/>
          <w:color w:val="000000" w:themeColor="text1"/>
          <w:sz w:val="32"/>
          <w:szCs w:val="32"/>
          <w:lang w:val="en-US" w:eastAsia="zh-CN"/>
        </w:rPr>
      </w:pPr>
      <w:r>
        <w:rPr>
          <w:rFonts w:hint="eastAsia" w:ascii="Times New Roman" w:hAnsi="方正仿宋_GBK" w:eastAsia="方正仿宋_GBK" w:cs="Times New Roman"/>
          <w:color w:val="000000" w:themeColor="text1"/>
          <w:sz w:val="32"/>
          <w:szCs w:val="32"/>
          <w:lang w:val="en-US" w:eastAsia="zh-CN"/>
        </w:rPr>
        <w:t>2.深化科研协同攻关机制。</w:t>
      </w:r>
      <w:r>
        <w:rPr>
          <w:rFonts w:hint="eastAsia" w:ascii="Times New Roman" w:hAnsi="方正仿宋_GBK" w:eastAsia="方正仿宋_GBK" w:cs="Times New Roman"/>
          <w:color w:val="000000" w:themeColor="text1"/>
          <w:kern w:val="2"/>
          <w:sz w:val="32"/>
          <w:szCs w:val="32"/>
          <w:lang w:val="en-US" w:eastAsia="zh-CN" w:bidi="ar-SA"/>
        </w:rPr>
        <w:t>持续加强卫生健康领域基础研究，</w:t>
      </w:r>
      <w:r>
        <w:rPr>
          <w:rFonts w:hint="eastAsia" w:ascii="Times New Roman" w:hAnsi="方正仿宋_GBK" w:eastAsia="方正仿宋_GBK" w:cs="Times New Roman"/>
          <w:color w:val="000000" w:themeColor="text1"/>
          <w:sz w:val="32"/>
          <w:szCs w:val="32"/>
          <w:lang w:val="en-US" w:eastAsia="zh-CN"/>
        </w:rPr>
        <w:t>加大重点科研项目布局，力争获批国家自然科学基金等高层级科研项目和成果奖励30项以上，并实现省科技计划项目突破。完善医疗卫生科研资源共享机制，推动大型科研设备、生物样本库等资源开放共享，赋能临床研究、学科建设和专病队列研究。健全科研伦理、诚信、质量安全、医德医风协同审查机制，强化创新激励，开展高转化价值的临床研究。</w:t>
      </w:r>
    </w:p>
    <w:p w14:paraId="584B150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color w:val="000000" w:themeColor="text1"/>
          <w:sz w:val="30"/>
          <w:szCs w:val="30"/>
        </w:rPr>
      </w:pPr>
      <w:r>
        <w:rPr>
          <w:rFonts w:hint="eastAsia" w:ascii="Times New Roman" w:hAnsi="方正仿宋_GBK" w:eastAsia="方正仿宋_GBK" w:cs="Times New Roman"/>
          <w:color w:val="000000" w:themeColor="text1"/>
          <w:sz w:val="32"/>
          <w:szCs w:val="32"/>
          <w:lang w:val="en-US" w:eastAsia="zh-CN"/>
        </w:rPr>
        <w:t>3.壮大医疗卫生人才队伍。健全以医德医风、临床实践、科研带教、公共卫生服务等要素为核心的人才评价体系，完善人才引育留用全链条机制。优化人才引进政策，医疗卫生机构可通过单独考察或面试方式引进高层次医学人才。对紧缺专业和急需人才，可优先安排编制使用计划，降低岗位开考比例，简化招聘程序。深化职称制度改革，拓宽基层人才晋升通道。到2030年，力争新增博士100名、硕士1000名、高级职称3000名。加大人才培养力度，深入推进省、市人才项目计划，遴选推荐医疗卫生领域省“333工程”、省“有突出贡献的中青年专家”、省“双创博士”、市“533工程”等各类人才计划人选。动态调整农村订单定向医学生培养结构，强化毕业生履约管理和服务保障。深化医教协同，全面提升医护人员专业能力和职业素养。规范医学学（协）会运营管理，聚焦开展实用型、高质量继续教育项目。</w:t>
      </w:r>
    </w:p>
    <w:p w14:paraId="41989350">
      <w:pPr>
        <w:keepNext w:val="0"/>
        <w:keepLines w:val="0"/>
        <w:pageBreakBefore w:val="0"/>
        <w:kinsoku/>
        <w:wordWrap/>
        <w:overflowPunct w:val="0"/>
        <w:topLinePunct w:val="0"/>
        <w:autoSpaceDE/>
        <w:autoSpaceDN/>
        <w:bidi w:val="0"/>
        <w:spacing w:line="540" w:lineRule="exact"/>
        <w:ind w:firstLine="640" w:firstLineChars="200"/>
        <w:textAlignment w:val="auto"/>
        <w:rPr>
          <w:rFonts w:hint="eastAsia" w:ascii="Times New Roman" w:hAnsi="楷体" w:eastAsia="方正楷体_GBK" w:cs="Times New Roman"/>
          <w:bCs/>
          <w:color w:val="000000" w:themeColor="text1"/>
          <w:sz w:val="32"/>
          <w:szCs w:val="32"/>
          <w:lang w:eastAsia="zh-CN"/>
        </w:rPr>
      </w:pPr>
      <w:r>
        <w:rPr>
          <w:rFonts w:hint="eastAsia" w:ascii="Times New Roman" w:hAnsi="楷体" w:eastAsia="方正楷体_GBK" w:cs="Times New Roman"/>
          <w:bCs/>
          <w:color w:val="000000" w:themeColor="text1"/>
          <w:sz w:val="32"/>
          <w:szCs w:val="32"/>
          <w:lang w:eastAsia="zh-CN"/>
        </w:rPr>
        <w:t>（九）聚力支撑保障，推进全民健康数智化建设</w:t>
      </w:r>
    </w:p>
    <w:p w14:paraId="5008C335">
      <w:pPr>
        <w:pStyle w:val="2"/>
        <w:keepNext w:val="0"/>
        <w:keepLines w:val="0"/>
        <w:pageBreakBefore w:val="0"/>
        <w:widowControl w:val="0"/>
        <w:kinsoku/>
        <w:wordWrap/>
        <w:overflowPunct/>
        <w:topLinePunct w:val="0"/>
        <w:autoSpaceDE/>
        <w:autoSpaceDN/>
        <w:bidi w:val="0"/>
        <w:adjustRightInd/>
        <w:snapToGrid/>
        <w:spacing w:before="0" w:after="0" w:line="540" w:lineRule="exact"/>
        <w:ind w:firstLine="640" w:firstLineChars="200"/>
        <w:textAlignment w:val="auto"/>
        <w:rPr>
          <w:rFonts w:hint="eastAsia" w:ascii="Times New Roman" w:hAnsi="方正仿宋_GBK" w:eastAsia="方正仿宋_GBK" w:cs="Times New Roman"/>
          <w:b w:val="0"/>
          <w:bCs w:val="0"/>
          <w:color w:val="000000" w:themeColor="text1"/>
          <w:kern w:val="2"/>
          <w:sz w:val="32"/>
          <w:szCs w:val="32"/>
          <w:highlight w:val="none"/>
          <w:lang w:val="en-US" w:eastAsia="zh-CN" w:bidi="ar-SA"/>
        </w:rPr>
      </w:pPr>
      <w:bookmarkStart w:id="3" w:name="_Toc78665993"/>
      <w:r>
        <w:rPr>
          <w:rFonts w:hint="eastAsia" w:ascii="Times New Roman" w:hAnsi="方正仿宋_GBK" w:eastAsia="方正仿宋_GBK" w:cs="Times New Roman"/>
          <w:b w:val="0"/>
          <w:bCs w:val="0"/>
          <w:color w:val="000000" w:themeColor="text1"/>
          <w:kern w:val="2"/>
          <w:sz w:val="32"/>
          <w:szCs w:val="32"/>
          <w:highlight w:val="none"/>
          <w:lang w:val="en-US" w:eastAsia="zh-CN" w:bidi="ar-SA"/>
        </w:rPr>
        <w:t>1.夯实全民健康数智化基础。统筹利用省、市人工智能算力资源，提升算力、存储与安全保障等资源支撑能力。持续推进医院信息化建设，完善院前急救、职业健康、传染病监测等业务系统功能，助力医防融合。推进省基层医疗卫生一体化信息系统在我市落地应用，支撑县域医共体和紧密型城市医疗集团内业务协同。推动“三医”协同和跨部门数据共享。提升市域内医疗健康信息互联互通水平，打通基层、医院、疾控、采供血等机构的信息壁垒，促进信息共享交换、业务协同。健全卫生健康数据治理体系，完善数据标准规范，加强数据质量管控，深入挖掘数据价值，开展数据要素应用创新。</w:t>
      </w:r>
    </w:p>
    <w:p w14:paraId="55FFBA76">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40" w:lineRule="exact"/>
        <w:ind w:firstLine="640" w:firstLineChars="200"/>
        <w:textAlignment w:val="auto"/>
        <w:rPr>
          <w:rFonts w:hint="eastAsia" w:ascii="Times New Roman" w:hAnsi="方正仿宋_GBK" w:eastAsia="方正仿宋_GBK" w:cs="Times New Roman"/>
          <w:b w:val="0"/>
          <w:bCs w:val="0"/>
          <w:color w:val="000000" w:themeColor="text1"/>
          <w:kern w:val="2"/>
          <w:sz w:val="32"/>
          <w:szCs w:val="32"/>
          <w:highlight w:val="none"/>
          <w:lang w:val="en-US" w:eastAsia="zh-CN" w:bidi="ar-SA"/>
        </w:rPr>
      </w:pPr>
      <w:r>
        <w:rPr>
          <w:rFonts w:hint="eastAsia" w:ascii="Times New Roman" w:hAnsi="方正仿宋_GBK" w:eastAsia="方正仿宋_GBK" w:cs="Times New Roman"/>
          <w:b w:val="0"/>
          <w:bCs w:val="0"/>
          <w:color w:val="000000" w:themeColor="text1"/>
          <w:kern w:val="2"/>
          <w:sz w:val="32"/>
          <w:szCs w:val="32"/>
          <w:highlight w:val="none"/>
          <w:lang w:val="en-US" w:eastAsia="zh-CN" w:bidi="ar-SA"/>
        </w:rPr>
        <w:t>2.推进“人工智能+医疗健康”行动。支持市一院开展“食管癌AI筛查辅助诊断模型”建设。支持市一院与南京大学共建人工智能校院联合实验室，搭建专病种科研大数据平台、专病智能诊疗临床平台、智慧医院管理平台和智能医学教育平台。持续推进人工智能技术与各场景的深度融合与协同发展。到2027年，全市三级公立医院实现医学影像智能辅助诊断、临床诊疗智能辅助决策、患者智能就诊服务等人工智能技术应用，基层诊疗智能辅助等应用覆盖80%以上基层医疗卫生机构。到2030年，推动二级以上公立医院普遍开展医学影像智能辅助诊断、临床诊疗智能辅助决策等人工智能技术应用，基层诊疗智能辅助等应用全覆盖。</w:t>
      </w:r>
    </w:p>
    <w:p w14:paraId="03493F7C">
      <w:pPr>
        <w:pStyle w:val="3"/>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方正仿宋_GBK" w:eastAsia="方正仿宋_GBK" w:cs="Times New Roman"/>
          <w:b w:val="0"/>
          <w:bCs w:val="0"/>
          <w:color w:val="000000" w:themeColor="text1"/>
          <w:kern w:val="2"/>
          <w:sz w:val="32"/>
          <w:szCs w:val="32"/>
          <w:highlight w:val="none"/>
          <w:lang w:val="en-US" w:eastAsia="zh-CN" w:bidi="ar-SA"/>
        </w:rPr>
      </w:pPr>
      <w:r>
        <w:rPr>
          <w:rFonts w:hint="eastAsia" w:ascii="Times New Roman" w:hAnsi="方正仿宋_GBK" w:eastAsia="方正仿宋_GBK" w:cs="Times New Roman"/>
          <w:b w:val="0"/>
          <w:bCs w:val="0"/>
          <w:color w:val="000000" w:themeColor="text1"/>
          <w:kern w:val="2"/>
          <w:sz w:val="32"/>
          <w:szCs w:val="32"/>
          <w:highlight w:val="none"/>
          <w:lang w:val="en-US" w:eastAsia="zh-CN" w:bidi="ar-SA"/>
        </w:rPr>
        <w:t>3.加强网络安全与数据安全管理。持续完善网络安全防护监测机制，健全医疗健康数据安全管理制度，落实数据安全风险评估和分类分级；加强个人敏感信息全生命周期安全管控，完善数据泄露应急响应和处置机制，筑牢行业网络安全屏障。</w:t>
      </w:r>
    </w:p>
    <w:bookmarkEnd w:id="3"/>
    <w:p w14:paraId="176048EF">
      <w:pPr>
        <w:keepNext w:val="0"/>
        <w:keepLines w:val="0"/>
        <w:pageBreakBefore w:val="0"/>
        <w:kinsoku/>
        <w:wordWrap/>
        <w:overflowPunct w:val="0"/>
        <w:topLinePunct w:val="0"/>
        <w:autoSpaceDE/>
        <w:autoSpaceDN/>
        <w:bidi w:val="0"/>
        <w:spacing w:line="540" w:lineRule="exact"/>
        <w:ind w:firstLine="640" w:firstLineChars="200"/>
        <w:textAlignment w:val="auto"/>
        <w:rPr>
          <w:rFonts w:hint="eastAsia" w:ascii="Times New Roman" w:hAnsi="楷体" w:eastAsia="方正楷体_GBK" w:cs="Times New Roman"/>
          <w:bCs/>
          <w:color w:val="000000" w:themeColor="text1"/>
          <w:sz w:val="32"/>
          <w:szCs w:val="32"/>
          <w:lang w:eastAsia="zh-CN"/>
        </w:rPr>
      </w:pPr>
      <w:r>
        <w:rPr>
          <w:rFonts w:hint="eastAsia" w:ascii="Times New Roman" w:hAnsi="楷体" w:eastAsia="方正楷体_GBK" w:cs="Times New Roman"/>
          <w:bCs/>
          <w:color w:val="000000" w:themeColor="text1"/>
          <w:sz w:val="32"/>
          <w:szCs w:val="32"/>
          <w:lang w:eastAsia="zh-CN"/>
        </w:rPr>
        <w:t>（十）聚力综合赋能，推进行业治理能力现代化</w:t>
      </w:r>
    </w:p>
    <w:p w14:paraId="6A785797">
      <w:pPr>
        <w:keepNext w:val="0"/>
        <w:keepLines w:val="0"/>
        <w:pageBreakBefore w:val="0"/>
        <w:widowControl w:val="0"/>
        <w:kinsoku/>
        <w:wordWrap/>
        <w:overflowPunct/>
        <w:topLinePunct w:val="0"/>
        <w:autoSpaceDE/>
        <w:autoSpaceDN/>
        <w:bidi w:val="0"/>
        <w:adjustRightInd/>
        <w:snapToGrid/>
        <w:spacing w:line="540" w:lineRule="exact"/>
        <w:ind w:firstLine="641"/>
        <w:textAlignment w:val="auto"/>
        <w:rPr>
          <w:rFonts w:hint="default" w:ascii="Times New Roman" w:hAnsi="方正仿宋_GBK" w:eastAsia="方正仿宋_GBK" w:cs="Times New Roman"/>
          <w:b w:val="0"/>
          <w:bCs w:val="0"/>
          <w:color w:val="000000" w:themeColor="text1"/>
          <w:kern w:val="2"/>
          <w:sz w:val="32"/>
          <w:szCs w:val="32"/>
          <w:highlight w:val="none"/>
          <w:lang w:val="en-US" w:eastAsia="zh-CN" w:bidi="ar-SA"/>
        </w:rPr>
      </w:pPr>
      <w:r>
        <w:rPr>
          <w:rFonts w:hint="default" w:ascii="Times New Roman" w:hAnsi="方正仿宋_GBK" w:eastAsia="方正仿宋_GBK" w:cs="Times New Roman"/>
          <w:b w:val="0"/>
          <w:bCs w:val="0"/>
          <w:color w:val="000000" w:themeColor="text1"/>
          <w:kern w:val="2"/>
          <w:sz w:val="32"/>
          <w:szCs w:val="32"/>
          <w:highlight w:val="none"/>
          <w:lang w:val="en-US" w:eastAsia="zh-CN" w:bidi="ar-SA"/>
        </w:rPr>
        <w:t>1.促进“三医”协同发展和治理。加强医改工作组织领导，建立高效协同的工作推进机制和政策评价机制，推动“三医”目标统一、政策协同、信息互通、监管联动。因地制宜学习三明医改经验，加强医改指标监测，强化监测数据分析和运用。深化医疗保障制度改革，实行总额管理下的按病种付费为主的多元复合支付方式，规范按病种付费特例单议工作，完善医保基金结算支付机制。个人卫生支出占卫生总费用的比重保持稳中下降态势。健全医疗服务价格动态调整机制，完善</w:t>
      </w:r>
      <w:r>
        <w:rPr>
          <w:rFonts w:hint="default" w:ascii="Times New Roman" w:hAnsi="方正仿宋_GBK" w:eastAsia="方正仿宋_GBK" w:cs="Times New Roman"/>
          <w:b w:val="0"/>
          <w:bCs w:val="0"/>
          <w:color w:val="000000" w:themeColor="text1"/>
          <w:kern w:val="2"/>
          <w:sz w:val="32"/>
          <w:szCs w:val="32"/>
          <w:highlight w:val="none"/>
          <w:lang w:val="zh-CN" w:eastAsia="zh-CN" w:bidi="ar-SA"/>
        </w:rPr>
        <w:t>紧密型县域医共体医保资金总额打包付费政策，加大对基层倾斜力度，支持分级诊疗。全面落实</w:t>
      </w:r>
      <w:r>
        <w:rPr>
          <w:rFonts w:hint="default" w:ascii="Times New Roman" w:hAnsi="方正仿宋_GBK" w:eastAsia="方正仿宋_GBK" w:cs="Times New Roman"/>
          <w:b w:val="0"/>
          <w:bCs w:val="0"/>
          <w:color w:val="000000" w:themeColor="text1"/>
          <w:kern w:val="2"/>
          <w:sz w:val="32"/>
          <w:szCs w:val="32"/>
          <w:highlight w:val="none"/>
          <w:lang w:val="en-US" w:eastAsia="zh-CN" w:bidi="ar-SA"/>
        </w:rPr>
        <w:t>国家基本药物制度，推动医疗卫生机构优先配备和合理使用国家基本药物。健全短缺药品监测预警机制，提升应对处置质效。</w:t>
      </w:r>
    </w:p>
    <w:p w14:paraId="128FF3C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方正仿宋_GBK" w:eastAsia="方正仿宋_GBK" w:cs="Times New Roman"/>
          <w:b w:val="0"/>
          <w:bCs w:val="0"/>
          <w:color w:val="000000" w:themeColor="text1"/>
          <w:kern w:val="2"/>
          <w:sz w:val="32"/>
          <w:szCs w:val="32"/>
          <w:highlight w:val="none"/>
          <w:lang w:val="en-US" w:eastAsia="zh-CN" w:bidi="ar-SA"/>
        </w:rPr>
      </w:pPr>
      <w:r>
        <w:rPr>
          <w:rFonts w:hint="default" w:ascii="Times New Roman" w:hAnsi="方正仿宋_GBK" w:eastAsia="方正仿宋_GBK" w:cs="Times New Roman"/>
          <w:b w:val="0"/>
          <w:bCs w:val="0"/>
          <w:color w:val="000000" w:themeColor="text1"/>
          <w:kern w:val="2"/>
          <w:sz w:val="32"/>
          <w:szCs w:val="32"/>
          <w:highlight w:val="none"/>
          <w:lang w:val="en-US" w:eastAsia="zh-CN" w:bidi="ar-SA"/>
        </w:rPr>
        <w:t>2.深化以公益性为导向的公立医院改革。协同推动各地政府落实对公立医院六项投入责任，加强县区、基层医疗机构运行保障，建立健全稳定的公立医院运行保障机制。落实公立医院编制动态调整机制，</w:t>
      </w:r>
      <w:r>
        <w:rPr>
          <w:rFonts w:hint="default" w:ascii="Times New Roman" w:hAnsi="方正仿宋_GBK" w:eastAsia="方正仿宋_GBK" w:cs="Times New Roman"/>
          <w:b w:val="0"/>
          <w:bCs w:val="0"/>
          <w:color w:val="000000" w:themeColor="text1"/>
          <w:kern w:val="2"/>
          <w:sz w:val="32"/>
          <w:szCs w:val="32"/>
          <w:highlight w:val="none"/>
          <w:lang w:val="zh-CN" w:eastAsia="zh-CN" w:bidi="ar-SA"/>
        </w:rPr>
        <w:t>盘活用好公立医院编制资源，</w:t>
      </w:r>
      <w:r>
        <w:rPr>
          <w:rFonts w:hint="default" w:ascii="Times New Roman" w:hAnsi="方正仿宋_GBK" w:eastAsia="方正仿宋_GBK" w:cs="Times New Roman"/>
          <w:b w:val="0"/>
          <w:bCs w:val="0"/>
          <w:color w:val="000000" w:themeColor="text1"/>
          <w:kern w:val="2"/>
          <w:sz w:val="32"/>
          <w:szCs w:val="32"/>
          <w:highlight w:val="none"/>
          <w:lang w:val="en-US" w:eastAsia="zh-CN" w:bidi="ar-SA"/>
        </w:rPr>
        <w:t>注重向高层次人才、业务骨干以及儿科、精神等紧缺专业人才倾斜。</w:t>
      </w:r>
      <w:r>
        <w:rPr>
          <w:rFonts w:hint="default" w:ascii="Times New Roman" w:hAnsi="方正仿宋_GBK" w:eastAsia="方正仿宋_GBK" w:cs="Times New Roman"/>
          <w:b w:val="0"/>
          <w:bCs w:val="0"/>
          <w:color w:val="000000" w:themeColor="text1"/>
          <w:kern w:val="2"/>
          <w:sz w:val="32"/>
          <w:szCs w:val="32"/>
          <w:highlight w:val="none"/>
          <w:lang w:val="zh-CN" w:eastAsia="zh-CN" w:bidi="ar-SA"/>
        </w:rPr>
        <w:t>创新编制使用管理机制，探索建立</w:t>
      </w:r>
      <w:r>
        <w:rPr>
          <w:rFonts w:hint="default" w:ascii="Times New Roman" w:hAnsi="方正仿宋_GBK" w:eastAsia="方正仿宋_GBK" w:cs="Times New Roman"/>
          <w:b w:val="0"/>
          <w:bCs w:val="0"/>
          <w:color w:val="000000" w:themeColor="text1"/>
          <w:kern w:val="2"/>
          <w:sz w:val="32"/>
          <w:szCs w:val="32"/>
          <w:highlight w:val="none"/>
          <w:lang w:val="en-US" w:eastAsia="zh-CN" w:bidi="ar-SA"/>
        </w:rPr>
        <w:t>紧密型城市医疗医疗集团事业编制“周转池”，优化市域医疗卫生人力资源配置，实现人才按需双向流动。推广淮阴区试点成效，统筹紧密型县域医共体成员单位人员调配和编制调剂使用。落实“两个允许”要求，</w:t>
      </w:r>
      <w:r>
        <w:rPr>
          <w:rFonts w:hint="eastAsia" w:ascii="Times New Roman" w:hAnsi="方正仿宋_GBK" w:eastAsia="方正仿宋_GBK" w:cs="Times New Roman"/>
          <w:b w:val="0"/>
          <w:bCs w:val="0"/>
          <w:color w:val="000000" w:themeColor="text1"/>
          <w:kern w:val="2"/>
          <w:sz w:val="32"/>
          <w:szCs w:val="32"/>
          <w:highlight w:val="none"/>
          <w:lang w:val="en-US" w:eastAsia="zh-CN" w:bidi="ar-SA"/>
        </w:rPr>
        <w:t>统筹推进“三个结构调整”。</w:t>
      </w:r>
    </w:p>
    <w:p w14:paraId="2053AF38">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方正仿宋_GBK" w:eastAsia="方正仿宋_GBK" w:cs="Times New Roman"/>
          <w:b w:val="0"/>
          <w:bCs w:val="0"/>
          <w:color w:val="000000" w:themeColor="text1"/>
          <w:kern w:val="2"/>
          <w:sz w:val="32"/>
          <w:szCs w:val="32"/>
          <w:highlight w:val="none"/>
          <w:lang w:val="zh-CN" w:eastAsia="zh-CN" w:bidi="ar-SA"/>
        </w:rPr>
      </w:pPr>
      <w:r>
        <w:rPr>
          <w:rFonts w:hint="eastAsia" w:ascii="Times New Roman" w:hAnsi="方正仿宋_GBK" w:eastAsia="方正仿宋_GBK" w:cs="Times New Roman"/>
          <w:b w:val="0"/>
          <w:bCs w:val="0"/>
          <w:color w:val="000000" w:themeColor="text1"/>
          <w:kern w:val="2"/>
          <w:sz w:val="32"/>
          <w:szCs w:val="32"/>
          <w:highlight w:val="none"/>
          <w:lang w:val="en-US" w:eastAsia="zh-CN" w:bidi="ar-SA"/>
        </w:rPr>
        <w:t>科学调控不同等级医疗机构之间、医院内部不同业务科室之间薪酬差距，适当提高医务人员固定薪酬占比</w:t>
      </w:r>
      <w:r>
        <w:rPr>
          <w:rFonts w:hint="eastAsia" w:ascii="Times New Roman" w:hAnsi="方正仿宋_GBK" w:eastAsia="方正仿宋_GBK" w:cs="Times New Roman"/>
          <w:b w:val="0"/>
          <w:bCs w:val="0"/>
          <w:color w:val="000000" w:themeColor="text1"/>
          <w:kern w:val="2"/>
          <w:sz w:val="32"/>
          <w:szCs w:val="32"/>
          <w:highlight w:val="none"/>
          <w:lang w:val="zh-CN" w:eastAsia="zh-CN" w:bidi="ar-SA"/>
        </w:rPr>
        <w:t>。</w:t>
      </w:r>
      <w:r>
        <w:rPr>
          <w:rFonts w:hint="eastAsia" w:ascii="Times New Roman" w:hAnsi="方正仿宋_GBK" w:eastAsia="方正仿宋_GBK" w:cs="Times New Roman"/>
          <w:b w:val="0"/>
          <w:bCs w:val="0"/>
          <w:color w:val="000000" w:themeColor="text1"/>
          <w:kern w:val="2"/>
          <w:sz w:val="32"/>
          <w:szCs w:val="32"/>
          <w:highlight w:val="none"/>
          <w:lang w:val="en-US" w:eastAsia="zh-CN" w:bidi="ar-SA"/>
        </w:rPr>
        <w:t>探索实行公立医院负责人年薪制。到2030年，公立医院医务人员薪酬中固定收入占比达到50%以上。</w:t>
      </w:r>
    </w:p>
    <w:p w14:paraId="7B8D0C5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eastAsia="zh-CN"/>
        </w:rPr>
        <w:t>统筹发展与安全</w:t>
      </w:r>
      <w:r>
        <w:rPr>
          <w:rFonts w:hint="eastAsia" w:ascii="Times New Roman" w:hAnsi="方正仿宋_GBK" w:eastAsia="方正仿宋_GBK" w:cs="Times New Roman"/>
          <w:b w:val="0"/>
          <w:bCs w:val="0"/>
          <w:color w:val="000000" w:themeColor="text1"/>
          <w:kern w:val="2"/>
          <w:sz w:val="32"/>
          <w:szCs w:val="32"/>
          <w:lang w:val="en-US" w:eastAsia="zh-CN" w:bidi="ar-SA"/>
        </w:rPr>
        <w:t>。贯彻落实国家安全战略，坚持底线思维、极限思维，以医疗卫生质量安全为核心，聚焦重点领域关键环节，健全完善公共卫生应急管理体系，深入开展安全生产专项整治，依法稳妥处理信访投诉，有效防范化解各类风险挑战，筑牢安全屏障，确保卫生健康事业发</w:t>
      </w:r>
      <w:r>
        <w:rPr>
          <w:rFonts w:hint="eastAsia" w:ascii="Times New Roman" w:hAnsi="Times New Roman" w:eastAsia="方正仿宋_GBK" w:cs="Times New Roman"/>
          <w:sz w:val="32"/>
          <w:szCs w:val="32"/>
          <w:lang w:eastAsia="zh-CN"/>
        </w:rPr>
        <w:t>展行稳致远。</w:t>
      </w:r>
    </w:p>
    <w:p w14:paraId="44DAE69A">
      <w:pPr>
        <w:pStyle w:val="11"/>
        <w:keepNext w:val="0"/>
        <w:keepLines w:val="0"/>
        <w:pageBreakBefore w:val="0"/>
        <w:widowControl w:val="0"/>
        <w:kinsoku/>
        <w:wordWrap/>
        <w:topLinePunct w:val="0"/>
        <w:autoSpaceDE/>
        <w:autoSpaceDN/>
        <w:bidi w:val="0"/>
        <w:spacing w:beforeAutospacing="0" w:afterAutospacing="0" w:line="540" w:lineRule="exact"/>
        <w:ind w:firstLine="640" w:firstLineChars="200"/>
        <w:jc w:val="both"/>
        <w:textAlignment w:val="auto"/>
        <w:rPr>
          <w:rFonts w:hint="eastAsia" w:ascii="Times New Roman" w:hAnsi="方正仿宋_GBK" w:eastAsia="方正仿宋_GBK" w:cs="Times New Roman"/>
          <w:b w:val="0"/>
          <w:bCs w:val="0"/>
          <w:color w:val="000000" w:themeColor="text1"/>
          <w:kern w:val="2"/>
          <w:sz w:val="32"/>
          <w:szCs w:val="32"/>
          <w:lang w:val="en-US" w:eastAsia="zh-CN" w:bidi="ar-SA"/>
        </w:rPr>
      </w:pPr>
      <w:r>
        <w:rPr>
          <w:rFonts w:hint="eastAsia" w:ascii="Times New Roman" w:hAnsi="方正仿宋_GBK" w:eastAsia="方正仿宋_GBK" w:cs="Times New Roman"/>
          <w:b w:val="0"/>
          <w:bCs w:val="0"/>
          <w:color w:val="000000" w:themeColor="text1"/>
          <w:kern w:val="2"/>
          <w:sz w:val="32"/>
          <w:szCs w:val="32"/>
          <w:lang w:val="en-US" w:eastAsia="zh-CN" w:bidi="ar-SA"/>
        </w:rPr>
        <w:t>4.强化行业综合监管。健全医疗卫生行业综合监管协调机制，推进跨部门数据共享与执法联动。依托省级合理诊疗智慧监管平台，对医疗服务行为实施精准化动态监管。持续提升“双随机、一公开”监督抽检质量，拓宽多部门联合执法领域。严格规范涉企执法行为，全面落实“综合查一次”制度。聚焦非法行医、医疗美容、职业健康、公共卫生等重点领域实施专项执法行动。推广游泳场所、餐饮具消毒单位等场所“人工智能+监管”，提高非现场执法占比。</w:t>
      </w:r>
    </w:p>
    <w:p w14:paraId="08C9E897">
      <w:pPr>
        <w:pStyle w:val="11"/>
        <w:keepNext w:val="0"/>
        <w:keepLines w:val="0"/>
        <w:pageBreakBefore w:val="0"/>
        <w:widowControl w:val="0"/>
        <w:kinsoku/>
        <w:wordWrap/>
        <w:topLinePunct w:val="0"/>
        <w:autoSpaceDE/>
        <w:autoSpaceDN/>
        <w:bidi w:val="0"/>
        <w:spacing w:beforeAutospacing="0" w:afterAutospacing="0" w:line="540"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w:t>
      </w:r>
      <w:r>
        <w:rPr>
          <w:rFonts w:ascii="Times New Roman" w:hAnsi="Times New Roman" w:eastAsia="方正仿宋_GBK" w:cs="Times New Roman"/>
          <w:kern w:val="2"/>
          <w:sz w:val="32"/>
          <w:szCs w:val="32"/>
          <w:lang w:val="en-US" w:eastAsia="zh-CN" w:bidi="ar-SA"/>
        </w:rPr>
        <w:t>加强</w:t>
      </w:r>
      <w:r>
        <w:rPr>
          <w:rFonts w:hint="eastAsia" w:ascii="Times New Roman" w:hAnsi="Times New Roman" w:eastAsia="方正仿宋_GBK" w:cs="Times New Roman"/>
          <w:kern w:val="2"/>
          <w:sz w:val="32"/>
          <w:szCs w:val="32"/>
          <w:lang w:val="en-US" w:eastAsia="zh-CN" w:bidi="ar-SA"/>
        </w:rPr>
        <w:t>党建和</w:t>
      </w:r>
      <w:r>
        <w:rPr>
          <w:rFonts w:ascii="Times New Roman" w:hAnsi="Times New Roman" w:eastAsia="方正仿宋_GBK" w:cs="Times New Roman"/>
          <w:kern w:val="2"/>
          <w:sz w:val="32"/>
          <w:szCs w:val="32"/>
          <w:lang w:val="en-US" w:eastAsia="zh-CN" w:bidi="ar-SA"/>
        </w:rPr>
        <w:t>作风建设</w:t>
      </w:r>
      <w:r>
        <w:rPr>
          <w:rFonts w:hint="eastAsia"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bidi="ar-SA"/>
        </w:rPr>
        <w:t>坚持党建引领，充分发挥行业党委作用，健全基层党组织参与重大决策机制，推动党建与业务工作深度融合，深化党建书记项目和“四强”党支部建设。推进全面从严治党，</w:t>
      </w:r>
      <w:r>
        <w:rPr>
          <w:rFonts w:hint="eastAsia" w:ascii="Times New Roman" w:hAnsi="Times New Roman" w:eastAsia="方正仿宋_GBK" w:cs="Times New Roman"/>
          <w:kern w:val="2"/>
          <w:sz w:val="32"/>
          <w:szCs w:val="32"/>
          <w:lang w:val="en-US" w:eastAsia="zh-CN" w:bidi="ar-SA"/>
        </w:rPr>
        <w:t>全面落实行风管理核心制度，强化医德医风教育、考评和结果运用，引导广大医务人员自觉践行崇高职业精神，弘扬正能量，营造风清气正的行业环境。</w:t>
      </w:r>
    </w:p>
    <w:p w14:paraId="6C1431A3">
      <w:pPr>
        <w:pStyle w:val="11"/>
        <w:keepNext w:val="0"/>
        <w:keepLines w:val="0"/>
        <w:pageBreakBefore w:val="0"/>
        <w:kinsoku/>
        <w:wordWrap/>
        <w:topLinePunct w:val="0"/>
        <w:autoSpaceDE/>
        <w:autoSpaceDN/>
        <w:bidi w:val="0"/>
        <w:spacing w:beforeAutospacing="0" w:afterAutospacing="0" w:line="540" w:lineRule="exact"/>
        <w:ind w:firstLine="640" w:firstLineChars="200"/>
        <w:jc w:val="both"/>
        <w:textAlignment w:val="auto"/>
        <w:rPr>
          <w:rFonts w:hint="eastAsia" w:ascii="Times New Roman" w:hAnsi="Times New Roman" w:eastAsia="方正黑体_GBK" w:cs="Times New Roman"/>
          <w:bCs/>
          <w:color w:val="000000" w:themeColor="text1"/>
          <w:sz w:val="32"/>
          <w:szCs w:val="32"/>
          <w:lang w:eastAsia="zh-CN"/>
        </w:rPr>
      </w:pPr>
      <w:r>
        <w:rPr>
          <w:rFonts w:hint="eastAsia" w:ascii="Times New Roman" w:hAnsi="Times New Roman" w:eastAsia="方正黑体_GBK" w:cs="Times New Roman"/>
          <w:bCs/>
          <w:color w:val="000000" w:themeColor="text1"/>
          <w:sz w:val="32"/>
          <w:szCs w:val="32"/>
          <w:lang w:eastAsia="zh-CN"/>
        </w:rPr>
        <w:t>五、重点工程</w:t>
      </w:r>
    </w:p>
    <w:p w14:paraId="79DA9403">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rPr>
          <w:rFonts w:hint="eastAsia" w:ascii="方正楷体_GBK" w:hAnsi="方正楷体_GBK" w:eastAsia="方正楷体_GBK" w:cs="方正楷体_GBK"/>
          <w:color w:val="FF0000"/>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1.医疗筑峰工程</w:t>
      </w:r>
    </w:p>
    <w:p w14:paraId="24860DBE">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立足苏北、融入长三角，把淮安建设成为长三角北部区域医疗高地和淮河生态经济带重要医疗中心。以三甲综合医院为核心，积极争创省级区域医疗中心，争取纳入国家区域医疗中心建设序列，力争引进国家级高层次人才取得突破，以遴选、培育市医学重点学科和重点实验室为抓手梯次推进，力争新建1-2个省医学重点学科</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实验室</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、省工程研究中心、省临床医学研究中心等高层级创新平台。</w:t>
      </w:r>
    </w:p>
    <w:p w14:paraId="6AAFF302">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2.医疗卫生强基工程</w:t>
      </w:r>
    </w:p>
    <w:p w14:paraId="34E1A13C">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提升县域医共体建设水平，持续推进县域医共体人员下沉派驻全覆盖。推动基层医疗卫生机构服务升级，新建20个左右农村区域性医疗卫生中心功能中心，累计建成30个左右省级慢病筛防中心。实施基层医疗卫生机构医疗质量改善行动。</w:t>
      </w:r>
      <w:r>
        <w:rPr>
          <w:rFonts w:hint="default" w:ascii="Times New Roman" w:hAnsi="Times New Roman" w:eastAsia="方正仿宋_GBK" w:cs="Times New Roman"/>
          <w:kern w:val="2"/>
          <w:sz w:val="32"/>
          <w:szCs w:val="32"/>
          <w:lang w:val="en-US" w:eastAsia="zh-CN" w:bidi="ar-SA"/>
        </w:rPr>
        <w:t>巩固完善基层卫生人员</w:t>
      </w:r>
      <w:bookmarkStart w:id="4" w:name="OLE_LINK7"/>
      <w:r>
        <w:rPr>
          <w:rFonts w:hint="default" w:ascii="Times New Roman" w:hAnsi="Times New Roman" w:eastAsia="方正仿宋_GBK" w:cs="Times New Roman"/>
          <w:kern w:val="2"/>
          <w:sz w:val="32"/>
          <w:szCs w:val="32"/>
          <w:lang w:val="en-US" w:eastAsia="zh-CN" w:bidi="ar-SA"/>
        </w:rPr>
        <w:t>县管乡用、乡聘村用</w:t>
      </w:r>
      <w:r>
        <w:rPr>
          <w:rFonts w:hint="eastAsia" w:ascii="Times New Roman" w:hAnsi="Times New Roman" w:eastAsia="方正仿宋_GBK" w:cs="Times New Roman"/>
          <w:kern w:val="2"/>
          <w:sz w:val="32"/>
          <w:szCs w:val="32"/>
          <w:lang w:val="en-US" w:eastAsia="zh-CN" w:bidi="ar-SA"/>
        </w:rPr>
        <w:t>和</w:t>
      </w:r>
      <w:r>
        <w:rPr>
          <w:rFonts w:hint="default" w:ascii="Times New Roman" w:hAnsi="Times New Roman" w:eastAsia="方正仿宋_GBK" w:cs="Times New Roman"/>
          <w:kern w:val="2"/>
          <w:sz w:val="32"/>
          <w:szCs w:val="32"/>
          <w:lang w:val="en-US" w:eastAsia="zh-CN" w:bidi="ar-SA"/>
        </w:rPr>
        <w:t>巡回医疗</w:t>
      </w:r>
      <w:bookmarkEnd w:id="4"/>
      <w:r>
        <w:rPr>
          <w:rFonts w:hint="default" w:ascii="Times New Roman" w:hAnsi="Times New Roman" w:eastAsia="方正仿宋_GBK" w:cs="Times New Roman"/>
          <w:kern w:val="2"/>
          <w:sz w:val="32"/>
          <w:szCs w:val="32"/>
          <w:lang w:val="en-US" w:eastAsia="zh-CN" w:bidi="ar-SA"/>
        </w:rPr>
        <w:t>机制</w:t>
      </w:r>
      <w:r>
        <w:rPr>
          <w:rFonts w:hint="eastAsia" w:ascii="Times New Roman" w:hAnsi="Times New Roman" w:eastAsia="方正仿宋_GBK" w:cs="Times New Roman"/>
          <w:kern w:val="2"/>
          <w:sz w:val="32"/>
          <w:szCs w:val="32"/>
          <w:lang w:val="en-US" w:eastAsia="zh-CN" w:bidi="ar-SA"/>
        </w:rPr>
        <w:t>；持续开展基层适宜卫生技术实训，培训覆盖率达80%；县域信息化资源共享中心基本建成，实现基层与二三级机构互联，推广医学人工智能赋能基层应用。</w:t>
      </w:r>
    </w:p>
    <w:p w14:paraId="0F6D18D6">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方正楷体_GBK" w:hAnsi="方正楷体_GBK" w:eastAsia="方正楷体_GBK" w:cs="方正楷体_GBK"/>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3.康复护理提升工程</w:t>
      </w:r>
    </w:p>
    <w:p w14:paraId="3C96F5B5">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构建由康复专科医院、设置康复科的综合医院及基层医疗机构组成的康复专科一体化服务体系，发挥区域辐射带动作用；推动有条件的基层医疗卫生机构设置长期护理专区，为失能半失能老人提供长期照护服务，到2030年，每个县区至少1家基层医疗卫生机构设置长期护理专区，</w:t>
      </w:r>
      <w:r>
        <w:rPr>
          <w:rFonts w:hint="default" w:ascii="Times New Roman" w:hAnsi="Times New Roman" w:eastAsia="方正仿宋_GBK" w:cs="Times New Roman"/>
          <w:kern w:val="2"/>
          <w:sz w:val="32"/>
          <w:szCs w:val="32"/>
          <w:lang w:val="en-US" w:eastAsia="zh-CN" w:bidi="ar-SA"/>
        </w:rPr>
        <w:t>老年护理专业护士培训比例达95%。</w:t>
      </w:r>
    </w:p>
    <w:p w14:paraId="27438143">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方正楷体_GBK" w:hAnsi="方正楷体_GBK" w:eastAsia="方正楷体_GBK" w:cs="方正楷体_GBK"/>
          <w:color w:val="FF0000"/>
          <w:kern w:val="2"/>
          <w:sz w:val="32"/>
          <w:szCs w:val="32"/>
          <w:lang w:val="en-US" w:eastAsia="zh-CN" w:bidi="ar-SA"/>
        </w:rPr>
      </w:pPr>
      <w:r>
        <w:rPr>
          <w:rFonts w:hint="eastAsia" w:ascii="方正楷体_GBK" w:hAnsi="方正楷体_GBK" w:eastAsia="方正楷体_GBK" w:cs="方正楷体_GBK"/>
          <w:kern w:val="2"/>
          <w:sz w:val="32"/>
          <w:szCs w:val="32"/>
          <w:lang w:val="en-US" w:eastAsia="zh-CN" w:bidi="ar-SA"/>
        </w:rPr>
        <w:t>4.公共卫生服务能力提升工程</w:t>
      </w:r>
    </w:p>
    <w:p w14:paraId="57F5C754">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rPr>
          <w:rFonts w:ascii="Times New Roman" w:hAnsi="Times New Roman" w:eastAsia="仿宋_GB2312"/>
          <w:sz w:val="32"/>
        </w:rPr>
      </w:pPr>
      <w:r>
        <w:rPr>
          <w:rFonts w:hint="eastAsia" w:ascii="Times New Roman" w:hAnsi="Times New Roman" w:eastAsia="方正仿宋_GBK" w:cs="Times New Roman"/>
          <w:kern w:val="2"/>
          <w:sz w:val="32"/>
          <w:szCs w:val="32"/>
          <w:lang w:val="en-US" w:eastAsia="zh-CN" w:bidi="ar-SA"/>
        </w:rPr>
        <w:t>完善多渠道传染病监测网络，逐步建立健全多部门监测信息定期协商机制和数据共享通道，推进公共卫生异常事件报告体系建设。增设症候群哨点医院，信息报告规范率、采样及时率、社区监测工作完成率和智能流调系统使用率100%。提升检验检测能力，拓展检测项目，完善实验室检测体系。提升公共卫生干预能力，指导优化接种门诊。每年组织开展传染病防控应急演练1-2次。</w:t>
      </w:r>
    </w:p>
    <w:p w14:paraId="371E0838">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w:t>
      </w:r>
      <w:r>
        <w:rPr>
          <w:rFonts w:hint="eastAsia" w:ascii="方正楷体_GBK" w:hAnsi="方正楷体_GBK" w:eastAsia="方正楷体_GBK" w:cs="方正楷体_GBK"/>
          <w:kern w:val="2"/>
          <w:sz w:val="32"/>
          <w:szCs w:val="32"/>
          <w:lang w:val="en-US" w:eastAsia="zh-CN" w:bidi="ar-SA"/>
        </w:rPr>
        <w:t>中医药传承创新工程</w:t>
      </w:r>
    </w:p>
    <w:p w14:paraId="6926B970">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依托山阳医派分院及研究所和山阳医派传承发展研究学会，系统推进山阳医派学术传承与创新发展，力争“十五五”期间在省级重点专科建设、高层次人才培养及流派文化传播等关键领域取得扎实成效、新增省级中医重点专科（学科）6个以上、新增省中医药人才5名以上。开展山阳医派文化宣传，每年举办“山阳名医基层行”“中医药就在您身边”巡讲、中医集市等惠民活动不少于100场。</w:t>
      </w:r>
    </w:p>
    <w:p w14:paraId="3F49DF06">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right="0" w:rightChars="0" w:firstLine="640" w:firstLineChars="200"/>
        <w:jc w:val="both"/>
        <w:textAlignment w:val="auto"/>
        <w:rPr>
          <w:rFonts w:hint="eastAsia"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6.“一老一小”健康保障工程</w:t>
      </w:r>
    </w:p>
    <w:p w14:paraId="72C8F65A">
      <w:pPr>
        <w:keepNext w:val="0"/>
        <w:keepLines w:val="0"/>
        <w:pageBreakBefore w:val="0"/>
        <w:kinsoku/>
        <w:wordWrap/>
        <w:topLinePunct w:val="0"/>
        <w:autoSpaceDE/>
        <w:autoSpaceDN/>
        <w:bidi w:val="0"/>
        <w:snapToGrid w:val="0"/>
        <w:spacing w:line="54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健全普惠托育服务体系，发展普惠托育和托幼一体化服务，推进托育服务进社区、进单位、进幼儿园。到2030年，普惠托位占比达到85%左右；推动65岁以上老年人免费接种肺炎疫苗。完善医养结合服务网络，每个县区至少建成1家医养结合机构；开展老年人认知功能筛查与早期干预试点工作，每个试点社区筛查不少于500人次；开展失能老年人健康服务行动。</w:t>
      </w:r>
    </w:p>
    <w:p w14:paraId="0F920C03">
      <w:pPr>
        <w:pStyle w:val="11"/>
        <w:keepNext w:val="0"/>
        <w:keepLines w:val="0"/>
        <w:pageBreakBefore w:val="0"/>
        <w:widowControl w:val="0"/>
        <w:numPr>
          <w:ilvl w:val="0"/>
          <w:numId w:val="0"/>
        </w:numPr>
        <w:kinsoku/>
        <w:wordWrap/>
        <w:overflowPunct/>
        <w:topLinePunct w:val="0"/>
        <w:autoSpaceDE/>
        <w:autoSpaceDN/>
        <w:bidi w:val="0"/>
        <w:adjustRightInd/>
        <w:spacing w:beforeAutospacing="0" w:afterAutospacing="0" w:line="540" w:lineRule="exact"/>
        <w:ind w:firstLine="640" w:firstLineChars="200"/>
        <w:jc w:val="both"/>
        <w:textAlignment w:val="auto"/>
        <w:rPr>
          <w:rFonts w:hint="eastAsia" w:ascii="方正楷体_GB2312" w:hAnsi="方正楷体_GB2312" w:eastAsia="方正楷体_GB2312" w:cs="方正楷体_GB2312"/>
          <w:kern w:val="2"/>
          <w:sz w:val="32"/>
          <w:szCs w:val="32"/>
          <w:lang w:val="en-US" w:eastAsia="zh-CN" w:bidi="ar-SA"/>
        </w:rPr>
      </w:pPr>
      <w:r>
        <w:rPr>
          <w:rFonts w:hint="eastAsia" w:ascii="方正楷体_GB2312" w:hAnsi="方正楷体_GB2312" w:eastAsia="方正楷体_GB2312" w:cs="方正楷体_GB2312"/>
          <w:kern w:val="2"/>
          <w:sz w:val="32"/>
          <w:szCs w:val="32"/>
          <w:lang w:val="en-US" w:eastAsia="zh-CN" w:bidi="ar-SA"/>
        </w:rPr>
        <w:t>7.数智健康提升工程</w:t>
      </w:r>
    </w:p>
    <w:p w14:paraId="7A0870A5">
      <w:pPr>
        <w:pStyle w:val="11"/>
        <w:keepNext w:val="0"/>
        <w:keepLines w:val="0"/>
        <w:pageBreakBefore w:val="0"/>
        <w:widowControl w:val="0"/>
        <w:numPr>
          <w:ilvl w:val="0"/>
          <w:numId w:val="0"/>
        </w:numPr>
        <w:kinsoku/>
        <w:wordWrap/>
        <w:overflowPunct/>
        <w:topLinePunct w:val="0"/>
        <w:autoSpaceDE/>
        <w:autoSpaceDN/>
        <w:bidi w:val="0"/>
        <w:adjustRightInd/>
        <w:spacing w:beforeAutospacing="0" w:afterAutospacing="0" w:line="540" w:lineRule="exact"/>
        <w:ind w:firstLine="640" w:firstLineChars="200"/>
        <w:jc w:val="both"/>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深入推进“人工智能+医疗健康”务实应用，将人工智能技术应用于医疗健康服务和管理全过程。推进</w:t>
      </w:r>
      <w:r>
        <w:rPr>
          <w:rFonts w:hint="eastAsia" w:ascii="方正仿宋_GBK" w:hAnsi="方正仿宋_GBK" w:eastAsia="方正仿宋_GBK" w:cs="方正仿宋_GBK"/>
          <w:spacing w:val="-2"/>
          <w:sz w:val="32"/>
          <w:szCs w:val="32"/>
          <w:highlight w:val="none"/>
          <w:lang w:eastAsia="zh-CN"/>
        </w:rPr>
        <w:t>“</w:t>
      </w:r>
      <w:r>
        <w:rPr>
          <w:rFonts w:hint="eastAsia" w:ascii="方正仿宋_GBK" w:hAnsi="方正仿宋_GBK" w:eastAsia="方正仿宋_GBK" w:cs="方正仿宋_GBK"/>
          <w:spacing w:val="-2"/>
          <w:sz w:val="32"/>
          <w:szCs w:val="32"/>
          <w:highlight w:val="none"/>
        </w:rPr>
        <w:t>苏健康</w:t>
      </w:r>
      <w:r>
        <w:rPr>
          <w:rFonts w:hint="eastAsia" w:ascii="方正仿宋_GBK" w:hAnsi="方正仿宋_GBK" w:eastAsia="方正仿宋_GBK" w:cs="方正仿宋_GBK"/>
          <w:spacing w:val="-2"/>
          <w:sz w:val="32"/>
          <w:szCs w:val="32"/>
          <w:highlight w:val="none"/>
          <w:lang w:eastAsia="zh-CN"/>
        </w:rPr>
        <w:t>”</w:t>
      </w:r>
      <w:r>
        <w:rPr>
          <w:rFonts w:hint="eastAsia" w:ascii="方正仿宋_GBK" w:hAnsi="方正仿宋_GBK" w:eastAsia="方正仿宋_GBK" w:cs="方正仿宋_GBK"/>
          <w:spacing w:val="-2"/>
          <w:sz w:val="32"/>
          <w:szCs w:val="32"/>
          <w:highlight w:val="none"/>
        </w:rPr>
        <w:t>对接</w:t>
      </w:r>
      <w:r>
        <w:rPr>
          <w:rFonts w:hint="eastAsia" w:ascii="方正仿宋_GBK" w:hAnsi="方正仿宋_GBK" w:eastAsia="方正仿宋_GBK" w:cs="方正仿宋_GBK"/>
          <w:spacing w:val="-2"/>
          <w:sz w:val="32"/>
          <w:szCs w:val="32"/>
          <w:highlight w:val="none"/>
          <w:lang w:val="en-US" w:eastAsia="zh-CN"/>
        </w:rPr>
        <w:t>与</w:t>
      </w:r>
      <w:r>
        <w:rPr>
          <w:rFonts w:hint="eastAsia" w:ascii="方正仿宋_GBK" w:hAnsi="方正仿宋_GBK" w:eastAsia="方正仿宋_GBK" w:cs="方正仿宋_GBK"/>
          <w:spacing w:val="-2"/>
          <w:sz w:val="32"/>
          <w:szCs w:val="32"/>
          <w:highlight w:val="none"/>
        </w:rPr>
        <w:t>应用</w:t>
      </w:r>
      <w:r>
        <w:rPr>
          <w:rFonts w:hint="eastAsia" w:ascii="方正仿宋_GBK" w:hAnsi="方正仿宋_GBK" w:eastAsia="方正仿宋_GBK" w:cs="方正仿宋_GBK"/>
          <w:spacing w:val="-2"/>
          <w:sz w:val="32"/>
          <w:szCs w:val="32"/>
          <w:highlight w:val="none"/>
          <w:lang w:val="en-US" w:eastAsia="zh-CN"/>
        </w:rPr>
        <w:t>部署，</w:t>
      </w:r>
      <w:r>
        <w:rPr>
          <w:rFonts w:hint="eastAsia" w:ascii="Times New Roman" w:hAnsi="Times New Roman" w:eastAsia="方正仿宋_GBK" w:cs="Times New Roman"/>
          <w:kern w:val="2"/>
          <w:sz w:val="32"/>
          <w:szCs w:val="32"/>
          <w:highlight w:val="none"/>
          <w:lang w:val="en-US" w:eastAsia="zh-CN" w:bidi="ar-SA"/>
        </w:rPr>
        <w:t>遴选一所综合医院接入省重症医学人工智能应用，推进省基层医疗卫生一体化信息系统落地应用，推广省卫健委遴选的人工智能应用场景。</w:t>
      </w:r>
    </w:p>
    <w:p w14:paraId="4DB9BFDD">
      <w:pPr>
        <w:pStyle w:val="11"/>
        <w:keepNext w:val="0"/>
        <w:keepLines w:val="0"/>
        <w:pageBreakBefore w:val="0"/>
        <w:kinsoku/>
        <w:wordWrap/>
        <w:topLinePunct w:val="0"/>
        <w:autoSpaceDE/>
        <w:autoSpaceDN/>
        <w:bidi w:val="0"/>
        <w:spacing w:beforeAutospacing="0" w:afterAutospacing="0" w:line="540" w:lineRule="exact"/>
        <w:ind w:firstLine="640" w:firstLineChars="200"/>
        <w:jc w:val="both"/>
        <w:textAlignment w:val="auto"/>
        <w:rPr>
          <w:color w:val="000000" w:themeColor="text1"/>
          <w:lang w:val="zh-CN"/>
        </w:rPr>
      </w:pPr>
      <w:r>
        <w:rPr>
          <w:rFonts w:hint="eastAsia" w:ascii="Times New Roman" w:hAnsi="Times New Roman" w:eastAsia="方正黑体_GBK" w:cs="Times New Roman"/>
          <w:bCs/>
          <w:color w:val="000000" w:themeColor="text1"/>
          <w:sz w:val="32"/>
          <w:szCs w:val="32"/>
          <w:lang w:eastAsia="zh-CN"/>
        </w:rPr>
        <w:t>四</w:t>
      </w:r>
      <w:r>
        <w:rPr>
          <w:rFonts w:hint="eastAsia" w:ascii="Times New Roman" w:hAnsi="Times New Roman" w:eastAsia="方正黑体_GBK" w:cs="Times New Roman"/>
          <w:bCs/>
          <w:color w:val="000000" w:themeColor="text1"/>
          <w:sz w:val="32"/>
          <w:szCs w:val="32"/>
        </w:rPr>
        <w:t>、组织实施和保障措施</w:t>
      </w:r>
    </w:p>
    <w:p w14:paraId="597594C1">
      <w:pPr>
        <w:pStyle w:val="11"/>
        <w:keepNext w:val="0"/>
        <w:keepLines w:val="0"/>
        <w:pageBreakBefore w:val="0"/>
        <w:pBdr>
          <w:bottom w:val="single" w:color="FFFFFF" w:sz="6" w:space="31"/>
        </w:pBdr>
        <w:kinsoku/>
        <w:wordWrap/>
        <w:overflowPunct w:val="0"/>
        <w:topLinePunct w:val="0"/>
        <w:autoSpaceDE/>
        <w:autoSpaceDN/>
        <w:bidi w:val="0"/>
        <w:adjustRightInd w:val="0"/>
        <w:snapToGrid w:val="0"/>
        <w:spacing w:beforeAutospacing="0" w:afterAutospacing="0" w:line="540" w:lineRule="exact"/>
        <w:ind w:firstLine="640" w:firstLineChars="200"/>
        <w:jc w:val="both"/>
        <w:textAlignment w:val="auto"/>
        <w:rPr>
          <w:rFonts w:hint="eastAsia" w:ascii="Times New Roman" w:hAnsi="Times New Roman" w:eastAsia="方正仿宋_GBK" w:cs="Times New Roman"/>
          <w:color w:val="000000" w:themeColor="text1"/>
          <w:sz w:val="32"/>
          <w:szCs w:val="32"/>
        </w:rPr>
      </w:pPr>
      <w:r>
        <w:rPr>
          <w:rFonts w:hint="eastAsia" w:ascii="Times New Roman" w:hAnsi="方正楷体_GBK" w:eastAsia="方正楷体_GBK" w:cs="Times New Roman"/>
          <w:color w:val="000000" w:themeColor="text1"/>
          <w:sz w:val="32"/>
          <w:szCs w:val="32"/>
          <w:lang w:val="zh-CN"/>
        </w:rPr>
        <w:t>坚持党政主导。</w:t>
      </w:r>
      <w:r>
        <w:rPr>
          <w:rFonts w:hint="eastAsia" w:ascii="Times New Roman" w:hAnsi="方正仿宋_GBK" w:eastAsia="方正仿宋_GBK" w:cs="Times New Roman"/>
          <w:color w:val="000000" w:themeColor="text1"/>
          <w:sz w:val="32"/>
          <w:szCs w:val="32"/>
        </w:rPr>
        <w:t>始终坚持党对卫生健康工作的全面领导，</w:t>
      </w:r>
      <w:r>
        <w:rPr>
          <w:rFonts w:hint="eastAsia" w:ascii="Times New Roman" w:hAnsi="方正仿宋_GBK" w:eastAsia="方正仿宋_GBK" w:cs="Times New Roman"/>
          <w:color w:val="000000" w:themeColor="text1"/>
          <w:sz w:val="32"/>
          <w:szCs w:val="32"/>
          <w:lang w:eastAsia="zh-CN"/>
        </w:rPr>
        <w:t>把</w:t>
      </w:r>
      <w:r>
        <w:rPr>
          <w:rFonts w:hint="eastAsia" w:ascii="Times New Roman" w:hAnsi="方正仿宋_GBK" w:eastAsia="方正仿宋_GBK" w:cs="Times New Roman"/>
          <w:color w:val="000000" w:themeColor="text1"/>
          <w:sz w:val="32"/>
          <w:szCs w:val="32"/>
        </w:rPr>
        <w:t>新时代党的卫生与健康工作方针贯穿到工作全过程。</w:t>
      </w:r>
      <w:r>
        <w:rPr>
          <w:rFonts w:hint="eastAsia" w:ascii="Times New Roman" w:hAnsi="Times New Roman" w:eastAsia="方正仿宋_GBK" w:cs="Times New Roman"/>
          <w:color w:val="000000" w:themeColor="text1"/>
          <w:sz w:val="32"/>
          <w:szCs w:val="32"/>
          <w:lang w:val="zh-CN"/>
        </w:rPr>
        <w:t>各地要切实把推进卫生健康事业发展作为提升人民健康水平、增进民生福祉的大事，</w:t>
      </w:r>
      <w:r>
        <w:rPr>
          <w:rFonts w:hint="eastAsia" w:ascii="Times New Roman" w:hAnsi="Times New Roman" w:eastAsia="方正仿宋_GBK" w:cs="Times New Roman"/>
          <w:color w:val="000000" w:themeColor="text1"/>
          <w:sz w:val="32"/>
          <w:szCs w:val="32"/>
        </w:rPr>
        <w:t>压实县区主体责任。</w:t>
      </w:r>
    </w:p>
    <w:p w14:paraId="5DF121F7">
      <w:pPr>
        <w:pStyle w:val="11"/>
        <w:keepNext w:val="0"/>
        <w:keepLines w:val="0"/>
        <w:pageBreakBefore w:val="0"/>
        <w:pBdr>
          <w:bottom w:val="single" w:color="FFFFFF" w:sz="6" w:space="31"/>
        </w:pBdr>
        <w:kinsoku/>
        <w:wordWrap/>
        <w:overflowPunct w:val="0"/>
        <w:topLinePunct w:val="0"/>
        <w:autoSpaceDE/>
        <w:autoSpaceDN/>
        <w:bidi w:val="0"/>
        <w:adjustRightInd w:val="0"/>
        <w:snapToGrid w:val="0"/>
        <w:spacing w:beforeAutospacing="0" w:afterAutospacing="0" w:line="540" w:lineRule="exact"/>
        <w:ind w:firstLine="640" w:firstLineChars="200"/>
        <w:jc w:val="both"/>
        <w:textAlignment w:val="auto"/>
        <w:rPr>
          <w:rFonts w:hint="eastAsia" w:ascii="Times New Roman" w:hAnsi="Times New Roman" w:eastAsia="方正仿宋_GBK" w:cs="Times New Roman"/>
          <w:color w:val="000000" w:themeColor="text1"/>
          <w:sz w:val="32"/>
          <w:szCs w:val="32"/>
          <w:lang w:val="zh-CN"/>
        </w:rPr>
      </w:pPr>
      <w:r>
        <w:rPr>
          <w:rFonts w:hint="eastAsia" w:ascii="Times New Roman" w:hAnsi="方正楷体_GBK" w:eastAsia="方正楷体_GBK" w:cs="Times New Roman"/>
          <w:color w:val="000000" w:themeColor="text1"/>
          <w:sz w:val="32"/>
          <w:szCs w:val="32"/>
          <w:lang w:val="zh-CN"/>
        </w:rPr>
        <w:t>强化监督评估</w:t>
      </w:r>
      <w:r>
        <w:rPr>
          <w:rFonts w:hint="eastAsia" w:ascii="Times New Roman" w:hAnsi="Times New Roman" w:eastAsia="方正仿宋_GBK" w:cs="Times New Roman"/>
          <w:color w:val="000000" w:themeColor="text1"/>
          <w:sz w:val="32"/>
          <w:szCs w:val="32"/>
          <w:lang w:val="zh-CN"/>
        </w:rPr>
        <w:t>。建立健全监测评价机制，在市政府统一领导下，市卫生行政主管部门负责牵头制定规划任务部门分工方案和监督评估方案，并对规划实施进度和效果进行年度监测和中期、末期评估，及时发现和解决问题。</w:t>
      </w:r>
    </w:p>
    <w:p w14:paraId="770F05E8">
      <w:pPr>
        <w:pStyle w:val="11"/>
        <w:keepNext w:val="0"/>
        <w:keepLines w:val="0"/>
        <w:pageBreakBefore w:val="0"/>
        <w:pBdr>
          <w:bottom w:val="single" w:color="FFFFFF" w:sz="6" w:space="31"/>
        </w:pBdr>
        <w:kinsoku/>
        <w:wordWrap/>
        <w:overflowPunct w:val="0"/>
        <w:topLinePunct w:val="0"/>
        <w:autoSpaceDE/>
        <w:autoSpaceDN/>
        <w:bidi w:val="0"/>
        <w:adjustRightInd w:val="0"/>
        <w:snapToGrid w:val="0"/>
        <w:spacing w:beforeAutospacing="0" w:afterAutospacing="0" w:line="540" w:lineRule="exact"/>
        <w:ind w:firstLine="640" w:firstLineChars="200"/>
        <w:jc w:val="both"/>
        <w:textAlignment w:val="auto"/>
        <w:rPr>
          <w:rFonts w:hint="eastAsia" w:ascii="Times New Roman" w:hAnsi="Times New Roman" w:eastAsia="方正仿宋_GBK" w:cs="Times New Roman"/>
          <w:color w:val="000000" w:themeColor="text1"/>
          <w:sz w:val="32"/>
          <w:szCs w:val="32"/>
          <w:lang w:val="en-US" w:eastAsia="zh-CN"/>
        </w:rPr>
      </w:pPr>
      <w:r>
        <w:rPr>
          <w:rFonts w:hint="eastAsia" w:ascii="Times New Roman" w:hAnsi="方正楷体_GBK" w:eastAsia="方正楷体_GBK" w:cs="Times New Roman"/>
          <w:color w:val="000000" w:themeColor="text1"/>
          <w:sz w:val="32"/>
          <w:szCs w:val="32"/>
          <w:lang w:val="zh-CN"/>
        </w:rPr>
        <w:t>强化宣传引导</w:t>
      </w:r>
      <w:r>
        <w:rPr>
          <w:rFonts w:hint="eastAsia" w:ascii="Times New Roman" w:hAnsi="Times New Roman" w:eastAsia="方正仿宋_GBK" w:cs="Times New Roman"/>
          <w:color w:val="000000" w:themeColor="text1"/>
          <w:sz w:val="32"/>
          <w:szCs w:val="32"/>
          <w:lang w:val="zh-CN"/>
        </w:rPr>
        <w:t>。加强正面宣传和典型宣传，浓厚尊重医学科学、尊重医疗卫生工作者的良好社会氛围，促进规划有效实施。</w:t>
      </w:r>
    </w:p>
    <w:sectPr>
      <w:headerReference r:id="rId6" w:type="first"/>
      <w:footerReference r:id="rId8" w:type="first"/>
      <w:headerReference r:id="rId5" w:type="default"/>
      <w:footerReference r:id="rId7" w:type="default"/>
      <w:pgSz w:w="11906" w:h="16838"/>
      <w:pgMar w:top="1814" w:right="1531" w:bottom="1814" w:left="1531" w:header="851" w:footer="1276" w:gutter="0"/>
      <w:pgNumType w:fmt="decimal"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文进博" w:date="2026-07-13T10:25:00Z" w:initials="xb21cn">
    <w:p w14:paraId="3978EA73">
      <w:pPr>
        <w:pStyle w:val="5"/>
        <w:rPr>
          <w:rFonts w:hint="eastAsia"/>
        </w:rPr>
      </w:pPr>
      <w:r>
        <w:rPr>
          <w:rFonts w:hint="eastAsia"/>
        </w:rPr>
        <w:t>业务</w:t>
      </w:r>
      <w:r>
        <w:t>条线是按照</w:t>
      </w:r>
      <w:r>
        <w:rPr>
          <w:rFonts w:hint="eastAsia"/>
        </w:rPr>
        <w:t>90</w:t>
      </w:r>
      <w:r>
        <w:t>%的要求开展工作，省疾控上报的内容也是</w:t>
      </w:r>
      <w:r>
        <w:rPr>
          <w:rFonts w:hint="eastAsia"/>
        </w:rPr>
        <w:t>90</w:t>
      </w:r>
      <w:r>
        <w:t>%，后省疾控局将数字调整到</w:t>
      </w:r>
      <w:r>
        <w:rPr>
          <w:rFonts w:hint="eastAsia"/>
        </w:rPr>
        <w:t>95</w:t>
      </w:r>
      <w:r>
        <w:t>%。此</w:t>
      </w:r>
      <w:r>
        <w:rPr>
          <w:rFonts w:hint="eastAsia"/>
        </w:rPr>
        <w:t>内容的</w:t>
      </w:r>
      <w:r>
        <w:t>情况请了解。</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978EA7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627932-AA7F-4C0C-82EA-60C8341FB5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04D5393F-3EFF-498D-A2F7-B6EE4E995A82}"/>
  </w:font>
  <w:font w:name="方正仿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汉仪旗黑-50简">
    <w:altName w:val="黑体"/>
    <w:panose1 w:val="00000000000000000000"/>
    <w:charset w:val="00"/>
    <w:family w:val="auto"/>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embedRegular r:id="rId3" w:fontKey="{D0B4A7FE-2635-4127-A852-1A08DCD7E436}"/>
  </w:font>
  <w:font w:name="方正小标宋_GBK">
    <w:panose1 w:val="03000509000000000000"/>
    <w:charset w:val="86"/>
    <w:family w:val="script"/>
    <w:pitch w:val="default"/>
    <w:sig w:usb0="00000001" w:usb1="080E0000" w:usb2="00000000" w:usb3="00000000" w:csb0="00040000" w:csb1="00000000"/>
    <w:embedRegular r:id="rId4" w:fontKey="{530AB7DB-455E-4ACE-8C33-1945FA5A83D6}"/>
  </w:font>
  <w:font w:name="方正楷体_GBK">
    <w:panose1 w:val="02000000000000000000"/>
    <w:charset w:val="86"/>
    <w:family w:val="script"/>
    <w:pitch w:val="default"/>
    <w:sig w:usb0="800002BF" w:usb1="38CF7CFA" w:usb2="00000016" w:usb3="00000000" w:csb0="00040000" w:csb1="00000000"/>
    <w:embedRegular r:id="rId5" w:fontKey="{FAB2E6E0-65B4-4B9D-85D9-E570D72D118D}"/>
  </w:font>
  <w:font w:name="方正仿宋_GB2312">
    <w:panose1 w:val="02000000000000000000"/>
    <w:charset w:val="86"/>
    <w:family w:val="roman"/>
    <w:pitch w:val="default"/>
    <w:sig w:usb0="A00002BF" w:usb1="184F6CFA" w:usb2="00000012" w:usb3="00000000" w:csb0="00040001" w:csb1="00000000"/>
    <w:embedRegular r:id="rId6" w:fontKey="{C99ADDA9-F5E1-44D9-8AC5-FDF03D7FF187}"/>
  </w:font>
  <w:font w:name="方正黑体_GBK">
    <w:panose1 w:val="02010600010101010101"/>
    <w:charset w:val="86"/>
    <w:family w:val="script"/>
    <w:pitch w:val="default"/>
    <w:sig w:usb0="00000001" w:usb1="080E0000" w:usb2="00000000" w:usb3="00000000" w:csb0="00040000" w:csb1="00000000"/>
    <w:embedRegular r:id="rId7" w:fontKey="{39F13167-4AAF-4308-8A66-C0488C222F0A}"/>
  </w:font>
  <w:font w:name="楷体">
    <w:panose1 w:val="02010609060101010101"/>
    <w:charset w:val="86"/>
    <w:family w:val="modern"/>
    <w:pitch w:val="default"/>
    <w:sig w:usb0="800002BF" w:usb1="38CF7CFA" w:usb2="00000016" w:usb3="00000000" w:csb0="00040001" w:csb1="00000000"/>
    <w:embedRegular r:id="rId8" w:fontKey="{4769757A-7B9C-49B5-A340-899321241CCE}"/>
  </w:font>
  <w:font w:name="仿宋_GB2312">
    <w:panose1 w:val="02010609030101010101"/>
    <w:charset w:val="86"/>
    <w:family w:val="modern"/>
    <w:pitch w:val="default"/>
    <w:sig w:usb0="00000001" w:usb1="080E0000" w:usb2="00000000" w:usb3="00000000" w:csb0="00040000" w:csb1="00000000"/>
    <w:embedRegular r:id="rId9" w:fontKey="{2737C180-7FB7-4F47-960E-30CD440E314A}"/>
  </w:font>
  <w:font w:name="方正楷体_GB2312">
    <w:panose1 w:val="02000000000000000000"/>
    <w:charset w:val="86"/>
    <w:family w:val="auto"/>
    <w:pitch w:val="default"/>
    <w:sig w:usb0="A00002BF" w:usb1="184F6CFA" w:usb2="00000012" w:usb3="00000000" w:csb0="00040001" w:csb1="00000000"/>
    <w:embedRegular r:id="rId10" w:fontKey="{F78086F6-2FB3-4103-B818-DD0959F963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477F4">
    <w:pPr>
      <w:pStyle w:val="8"/>
      <w:tabs>
        <w:tab w:val="left" w:pos="2955"/>
        <w:tab w:val="clear" w:pos="4153"/>
        <w:tab w:val="clear" w:pos="8306"/>
      </w:tabs>
      <w:jc w:val="center"/>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C6648CC">
                <w:pPr>
                  <w:pStyle w:val="8"/>
                  <w:tabs>
                    <w:tab w:val="left" w:pos="2955"/>
                    <w:tab w:val="clear" w:pos="4153"/>
                    <w:tab w:val="clear" w:pos="8306"/>
                  </w:tabs>
                  <w:jc w:val="center"/>
                </w:pPr>
                <w:bookmarkStart w:id="5" w:name="OLE_LINK4"/>
                <w:bookmarkStart w:id="6" w:name="OLE_LINK3"/>
                <w:r>
                  <w:rPr>
                    <w:rFonts w:hint="eastAsia" w:ascii="方正仿宋_GBK" w:eastAsia="方正仿宋_GBK"/>
                    <w:sz w:val="28"/>
                    <w:szCs w:val="28"/>
                  </w:rPr>
                  <w:t xml:space="preserve">— </w:t>
                </w:r>
                <w:r>
                  <w:rPr>
                    <w:rStyle w:val="16"/>
                    <w:rFonts w:ascii="Times New Roman" w:eastAsia="方正仿宋_GBK"/>
                    <w:sz w:val="28"/>
                    <w:szCs w:val="28"/>
                  </w:rPr>
                  <w:fldChar w:fldCharType="begin"/>
                </w:r>
                <w:r>
                  <w:rPr>
                    <w:rStyle w:val="16"/>
                    <w:rFonts w:ascii="Times New Roman" w:eastAsia="方正仿宋_GBK"/>
                    <w:sz w:val="28"/>
                    <w:szCs w:val="28"/>
                  </w:rPr>
                  <w:instrText xml:space="preserve"> PAGE </w:instrText>
                </w:r>
                <w:r>
                  <w:rPr>
                    <w:rStyle w:val="16"/>
                    <w:rFonts w:ascii="Times New Roman" w:eastAsia="方正仿宋_GBK"/>
                    <w:sz w:val="28"/>
                    <w:szCs w:val="28"/>
                  </w:rPr>
                  <w:fldChar w:fldCharType="separate"/>
                </w:r>
                <w:r>
                  <w:rPr>
                    <w:rStyle w:val="16"/>
                    <w:rFonts w:ascii="Times New Roman" w:eastAsia="方正仿宋_GBK"/>
                    <w:sz w:val="28"/>
                    <w:szCs w:val="28"/>
                  </w:rPr>
                  <w:t>3</w:t>
                </w:r>
                <w:r>
                  <w:rPr>
                    <w:rStyle w:val="16"/>
                    <w:rFonts w:ascii="Times New Roman" w:eastAsia="方正仿宋_GBK"/>
                    <w:sz w:val="28"/>
                    <w:szCs w:val="28"/>
                  </w:rPr>
                  <w:fldChar w:fldCharType="end"/>
                </w:r>
                <w:r>
                  <w:rPr>
                    <w:rStyle w:val="16"/>
                    <w:rFonts w:hint="eastAsia" w:ascii="方正仿宋_GBK" w:eastAsia="方正仿宋_GBK"/>
                    <w:sz w:val="28"/>
                    <w:szCs w:val="28"/>
                  </w:rPr>
                  <w:t xml:space="preserve"> </w:t>
                </w:r>
                <w:r>
                  <w:rPr>
                    <w:rFonts w:hint="eastAsia" w:ascii="方正仿宋_GBK" w:eastAsia="方正仿宋_GBK"/>
                    <w:sz w:val="28"/>
                    <w:szCs w:val="28"/>
                  </w:rPr>
                  <w:t>—</w:t>
                </w:r>
                <w:bookmarkEnd w:id="5"/>
                <w:bookmarkEnd w:id="6"/>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8F14F">
    <w:pPr>
      <w:pStyle w:val="8"/>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142CEFA">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03BC5">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E5A64">
    <w:pPr>
      <w:pStyle w:val="9"/>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进博">
    <w15:presenceInfo w15:providerId="None" w15:userId="文进博"/>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WIyYjZmOTdmM2E0YjYyNDE1NmNjZWUyMTBhMzk3YjUifQ=="/>
  </w:docVars>
  <w:rsids>
    <w:rsidRoot w:val="68DE5458"/>
    <w:rsid w:val="00004273"/>
    <w:rsid w:val="000E2F6C"/>
    <w:rsid w:val="001071D5"/>
    <w:rsid w:val="00165B55"/>
    <w:rsid w:val="0018584C"/>
    <w:rsid w:val="0019379A"/>
    <w:rsid w:val="001F3E84"/>
    <w:rsid w:val="002046FA"/>
    <w:rsid w:val="0022695E"/>
    <w:rsid w:val="00245D14"/>
    <w:rsid w:val="00294B78"/>
    <w:rsid w:val="002B03A1"/>
    <w:rsid w:val="0033184C"/>
    <w:rsid w:val="0033288D"/>
    <w:rsid w:val="003A7F4C"/>
    <w:rsid w:val="003B4D66"/>
    <w:rsid w:val="00403A73"/>
    <w:rsid w:val="004657CA"/>
    <w:rsid w:val="00491065"/>
    <w:rsid w:val="0077686E"/>
    <w:rsid w:val="007918FC"/>
    <w:rsid w:val="00797E64"/>
    <w:rsid w:val="007C33AA"/>
    <w:rsid w:val="007C62BA"/>
    <w:rsid w:val="007F0507"/>
    <w:rsid w:val="007F24AE"/>
    <w:rsid w:val="00821BEF"/>
    <w:rsid w:val="0085334D"/>
    <w:rsid w:val="008916E6"/>
    <w:rsid w:val="008F033B"/>
    <w:rsid w:val="008F1B9B"/>
    <w:rsid w:val="008F368B"/>
    <w:rsid w:val="009C6594"/>
    <w:rsid w:val="00A53E11"/>
    <w:rsid w:val="00AA424E"/>
    <w:rsid w:val="00B06BBA"/>
    <w:rsid w:val="00B205D8"/>
    <w:rsid w:val="00B34B06"/>
    <w:rsid w:val="00BC5E50"/>
    <w:rsid w:val="00C51D9F"/>
    <w:rsid w:val="00C57088"/>
    <w:rsid w:val="00CA5598"/>
    <w:rsid w:val="00CE1167"/>
    <w:rsid w:val="00D22853"/>
    <w:rsid w:val="00D400DB"/>
    <w:rsid w:val="00D9556A"/>
    <w:rsid w:val="00DB48DD"/>
    <w:rsid w:val="00DD5BFA"/>
    <w:rsid w:val="00DF186B"/>
    <w:rsid w:val="00E14281"/>
    <w:rsid w:val="00E210C2"/>
    <w:rsid w:val="00F256F3"/>
    <w:rsid w:val="00F64FD8"/>
    <w:rsid w:val="00FB53D4"/>
    <w:rsid w:val="00FF021D"/>
    <w:rsid w:val="01093411"/>
    <w:rsid w:val="012B70AA"/>
    <w:rsid w:val="01540806"/>
    <w:rsid w:val="01622D5A"/>
    <w:rsid w:val="0178598C"/>
    <w:rsid w:val="01A57414"/>
    <w:rsid w:val="01D2349F"/>
    <w:rsid w:val="01E40A04"/>
    <w:rsid w:val="01E4604D"/>
    <w:rsid w:val="01EF5CA0"/>
    <w:rsid w:val="020A0151"/>
    <w:rsid w:val="02562647"/>
    <w:rsid w:val="025C2972"/>
    <w:rsid w:val="025C741F"/>
    <w:rsid w:val="02684B8F"/>
    <w:rsid w:val="027601E2"/>
    <w:rsid w:val="0281148A"/>
    <w:rsid w:val="02931C67"/>
    <w:rsid w:val="02A24FAD"/>
    <w:rsid w:val="02B16CD1"/>
    <w:rsid w:val="02B42BD5"/>
    <w:rsid w:val="02CD64A0"/>
    <w:rsid w:val="02EA1AAE"/>
    <w:rsid w:val="02FA438B"/>
    <w:rsid w:val="03033F4A"/>
    <w:rsid w:val="0318048F"/>
    <w:rsid w:val="032067CD"/>
    <w:rsid w:val="032944C5"/>
    <w:rsid w:val="03356608"/>
    <w:rsid w:val="0339283E"/>
    <w:rsid w:val="033A0C2B"/>
    <w:rsid w:val="034664C6"/>
    <w:rsid w:val="0349749B"/>
    <w:rsid w:val="03595EA0"/>
    <w:rsid w:val="037E3BC9"/>
    <w:rsid w:val="037E49C4"/>
    <w:rsid w:val="038E6EFC"/>
    <w:rsid w:val="03BB32B9"/>
    <w:rsid w:val="03DF6228"/>
    <w:rsid w:val="03FA6D38"/>
    <w:rsid w:val="04082550"/>
    <w:rsid w:val="040D70E9"/>
    <w:rsid w:val="041D41F2"/>
    <w:rsid w:val="041D699B"/>
    <w:rsid w:val="04242111"/>
    <w:rsid w:val="0426051F"/>
    <w:rsid w:val="04294AC3"/>
    <w:rsid w:val="042F48B5"/>
    <w:rsid w:val="04374DB4"/>
    <w:rsid w:val="04453C42"/>
    <w:rsid w:val="045C741D"/>
    <w:rsid w:val="04671FE9"/>
    <w:rsid w:val="046765E1"/>
    <w:rsid w:val="04776C36"/>
    <w:rsid w:val="04A1108C"/>
    <w:rsid w:val="04B059F1"/>
    <w:rsid w:val="04B44B81"/>
    <w:rsid w:val="04BA746E"/>
    <w:rsid w:val="04C9428D"/>
    <w:rsid w:val="04DD1E05"/>
    <w:rsid w:val="04E70BB8"/>
    <w:rsid w:val="05030701"/>
    <w:rsid w:val="050A009E"/>
    <w:rsid w:val="05736EA8"/>
    <w:rsid w:val="058D014E"/>
    <w:rsid w:val="05AE5DC3"/>
    <w:rsid w:val="05B60EBD"/>
    <w:rsid w:val="05CF5181"/>
    <w:rsid w:val="05D86C11"/>
    <w:rsid w:val="05F230B6"/>
    <w:rsid w:val="05F8654A"/>
    <w:rsid w:val="060432EB"/>
    <w:rsid w:val="0609790B"/>
    <w:rsid w:val="0618202C"/>
    <w:rsid w:val="06457D34"/>
    <w:rsid w:val="064E1540"/>
    <w:rsid w:val="065F2228"/>
    <w:rsid w:val="06612C5C"/>
    <w:rsid w:val="0661309E"/>
    <w:rsid w:val="066F689D"/>
    <w:rsid w:val="067264AB"/>
    <w:rsid w:val="067803E8"/>
    <w:rsid w:val="06AA757D"/>
    <w:rsid w:val="06AE550F"/>
    <w:rsid w:val="06B57C2B"/>
    <w:rsid w:val="06BD5034"/>
    <w:rsid w:val="06BF0204"/>
    <w:rsid w:val="06CA0834"/>
    <w:rsid w:val="06F24ED8"/>
    <w:rsid w:val="07043127"/>
    <w:rsid w:val="07301612"/>
    <w:rsid w:val="073D0EAD"/>
    <w:rsid w:val="073E62FA"/>
    <w:rsid w:val="07490F13"/>
    <w:rsid w:val="074B05AA"/>
    <w:rsid w:val="074C2972"/>
    <w:rsid w:val="0753593A"/>
    <w:rsid w:val="0757500D"/>
    <w:rsid w:val="0790485A"/>
    <w:rsid w:val="079A62F2"/>
    <w:rsid w:val="079B148E"/>
    <w:rsid w:val="07B84688"/>
    <w:rsid w:val="07BB18D9"/>
    <w:rsid w:val="07F447B8"/>
    <w:rsid w:val="08097752"/>
    <w:rsid w:val="080B7CF9"/>
    <w:rsid w:val="080F5B3E"/>
    <w:rsid w:val="08104671"/>
    <w:rsid w:val="0818795A"/>
    <w:rsid w:val="081C03E5"/>
    <w:rsid w:val="081C4109"/>
    <w:rsid w:val="081E4B0C"/>
    <w:rsid w:val="0854007B"/>
    <w:rsid w:val="0856547D"/>
    <w:rsid w:val="08634780"/>
    <w:rsid w:val="0865499C"/>
    <w:rsid w:val="086C1F5E"/>
    <w:rsid w:val="087C2D91"/>
    <w:rsid w:val="089957E1"/>
    <w:rsid w:val="089E001F"/>
    <w:rsid w:val="08A026E9"/>
    <w:rsid w:val="08A80263"/>
    <w:rsid w:val="08AF35B3"/>
    <w:rsid w:val="08C16076"/>
    <w:rsid w:val="08D00F7E"/>
    <w:rsid w:val="08E55815"/>
    <w:rsid w:val="08ED3386"/>
    <w:rsid w:val="09285EAF"/>
    <w:rsid w:val="0942270B"/>
    <w:rsid w:val="0959184F"/>
    <w:rsid w:val="097F75F6"/>
    <w:rsid w:val="09894428"/>
    <w:rsid w:val="098D4402"/>
    <w:rsid w:val="09934E74"/>
    <w:rsid w:val="09A3235C"/>
    <w:rsid w:val="09A80A8D"/>
    <w:rsid w:val="09AA591D"/>
    <w:rsid w:val="09CA6D56"/>
    <w:rsid w:val="09D94820"/>
    <w:rsid w:val="09DA63BD"/>
    <w:rsid w:val="09DC2CF5"/>
    <w:rsid w:val="09E45220"/>
    <w:rsid w:val="09F16D3C"/>
    <w:rsid w:val="0A063066"/>
    <w:rsid w:val="0A082F6D"/>
    <w:rsid w:val="0A1955CD"/>
    <w:rsid w:val="0A236432"/>
    <w:rsid w:val="0A26633D"/>
    <w:rsid w:val="0A2C3B98"/>
    <w:rsid w:val="0A375E93"/>
    <w:rsid w:val="0A482ACC"/>
    <w:rsid w:val="0A5B6653"/>
    <w:rsid w:val="0A740CAE"/>
    <w:rsid w:val="0A754D7F"/>
    <w:rsid w:val="0AA33E7E"/>
    <w:rsid w:val="0AA87525"/>
    <w:rsid w:val="0AB25629"/>
    <w:rsid w:val="0AB375B8"/>
    <w:rsid w:val="0ABB4485"/>
    <w:rsid w:val="0ADB7861"/>
    <w:rsid w:val="0AF35099"/>
    <w:rsid w:val="0AF6220C"/>
    <w:rsid w:val="0B0A5762"/>
    <w:rsid w:val="0B0C3A4E"/>
    <w:rsid w:val="0B35686E"/>
    <w:rsid w:val="0B367F22"/>
    <w:rsid w:val="0B38029F"/>
    <w:rsid w:val="0B583CE9"/>
    <w:rsid w:val="0B615162"/>
    <w:rsid w:val="0B673C31"/>
    <w:rsid w:val="0B6D1A0E"/>
    <w:rsid w:val="0B7E169E"/>
    <w:rsid w:val="0B99455B"/>
    <w:rsid w:val="0BB124BD"/>
    <w:rsid w:val="0BCA047D"/>
    <w:rsid w:val="0BCD6F5B"/>
    <w:rsid w:val="0BD17690"/>
    <w:rsid w:val="0BE871F6"/>
    <w:rsid w:val="0BF221B4"/>
    <w:rsid w:val="0BFA4A7D"/>
    <w:rsid w:val="0C1F1961"/>
    <w:rsid w:val="0C4C35E4"/>
    <w:rsid w:val="0C522823"/>
    <w:rsid w:val="0C6F12A5"/>
    <w:rsid w:val="0C8668BF"/>
    <w:rsid w:val="0C9D2759"/>
    <w:rsid w:val="0CA21059"/>
    <w:rsid w:val="0CA34E6E"/>
    <w:rsid w:val="0CA72E37"/>
    <w:rsid w:val="0CA9676E"/>
    <w:rsid w:val="0CB672AE"/>
    <w:rsid w:val="0CB92DAE"/>
    <w:rsid w:val="0CC20F5A"/>
    <w:rsid w:val="0CD46E27"/>
    <w:rsid w:val="0CDE70AA"/>
    <w:rsid w:val="0CE3626C"/>
    <w:rsid w:val="0CF22834"/>
    <w:rsid w:val="0CF657BF"/>
    <w:rsid w:val="0D170835"/>
    <w:rsid w:val="0D1B2B28"/>
    <w:rsid w:val="0D2A3ABE"/>
    <w:rsid w:val="0D442253"/>
    <w:rsid w:val="0D621105"/>
    <w:rsid w:val="0D636C46"/>
    <w:rsid w:val="0D656899"/>
    <w:rsid w:val="0D6742E9"/>
    <w:rsid w:val="0D6C2B91"/>
    <w:rsid w:val="0D6D3657"/>
    <w:rsid w:val="0D737385"/>
    <w:rsid w:val="0D82764A"/>
    <w:rsid w:val="0D8C63FC"/>
    <w:rsid w:val="0D9A23BE"/>
    <w:rsid w:val="0D9D44CA"/>
    <w:rsid w:val="0DA75ECC"/>
    <w:rsid w:val="0DC7399E"/>
    <w:rsid w:val="0DEC0BB7"/>
    <w:rsid w:val="0DF1511D"/>
    <w:rsid w:val="0DF53CC6"/>
    <w:rsid w:val="0E0C11E7"/>
    <w:rsid w:val="0E29024C"/>
    <w:rsid w:val="0E330C14"/>
    <w:rsid w:val="0E387A55"/>
    <w:rsid w:val="0E6B2F54"/>
    <w:rsid w:val="0E782CA7"/>
    <w:rsid w:val="0E954776"/>
    <w:rsid w:val="0E990845"/>
    <w:rsid w:val="0E9C3E1E"/>
    <w:rsid w:val="0E9E4562"/>
    <w:rsid w:val="0EC04C4F"/>
    <w:rsid w:val="0ED64310"/>
    <w:rsid w:val="0ED91C40"/>
    <w:rsid w:val="0EE2274C"/>
    <w:rsid w:val="0EE464EC"/>
    <w:rsid w:val="0EEA0672"/>
    <w:rsid w:val="0EF20F2A"/>
    <w:rsid w:val="0F117C45"/>
    <w:rsid w:val="0F1D08A1"/>
    <w:rsid w:val="0F2B0957"/>
    <w:rsid w:val="0F33655B"/>
    <w:rsid w:val="0F4335DB"/>
    <w:rsid w:val="0F444382"/>
    <w:rsid w:val="0F5A78F6"/>
    <w:rsid w:val="0F740F66"/>
    <w:rsid w:val="0FAC43CD"/>
    <w:rsid w:val="0FAE3B26"/>
    <w:rsid w:val="0FC56A0E"/>
    <w:rsid w:val="0FD667BE"/>
    <w:rsid w:val="0FE53E2D"/>
    <w:rsid w:val="10406DF1"/>
    <w:rsid w:val="104677E6"/>
    <w:rsid w:val="10631EC6"/>
    <w:rsid w:val="106E4DF1"/>
    <w:rsid w:val="10806DD1"/>
    <w:rsid w:val="108140E3"/>
    <w:rsid w:val="108E0C3D"/>
    <w:rsid w:val="108F7741"/>
    <w:rsid w:val="10916704"/>
    <w:rsid w:val="10B06CFF"/>
    <w:rsid w:val="10B171E3"/>
    <w:rsid w:val="10B27C50"/>
    <w:rsid w:val="10BE5C7C"/>
    <w:rsid w:val="10BF5F17"/>
    <w:rsid w:val="10D76AF8"/>
    <w:rsid w:val="10FD3743"/>
    <w:rsid w:val="11053E0D"/>
    <w:rsid w:val="11077F78"/>
    <w:rsid w:val="11120DED"/>
    <w:rsid w:val="111909A3"/>
    <w:rsid w:val="112732A9"/>
    <w:rsid w:val="112F309E"/>
    <w:rsid w:val="11387B5E"/>
    <w:rsid w:val="115174C5"/>
    <w:rsid w:val="11771521"/>
    <w:rsid w:val="117B2B3A"/>
    <w:rsid w:val="119A34A0"/>
    <w:rsid w:val="11B37BFA"/>
    <w:rsid w:val="11B661F4"/>
    <w:rsid w:val="11BB1B38"/>
    <w:rsid w:val="11BC6A22"/>
    <w:rsid w:val="11E17C1E"/>
    <w:rsid w:val="11E75EF3"/>
    <w:rsid w:val="11ED70A6"/>
    <w:rsid w:val="11F0603A"/>
    <w:rsid w:val="12084522"/>
    <w:rsid w:val="12114AE5"/>
    <w:rsid w:val="121D0F4F"/>
    <w:rsid w:val="123C6186"/>
    <w:rsid w:val="12481EBB"/>
    <w:rsid w:val="12485112"/>
    <w:rsid w:val="124A0112"/>
    <w:rsid w:val="125F303D"/>
    <w:rsid w:val="125F430E"/>
    <w:rsid w:val="12640CDB"/>
    <w:rsid w:val="126466F1"/>
    <w:rsid w:val="12890DC2"/>
    <w:rsid w:val="12A44981"/>
    <w:rsid w:val="12A66C14"/>
    <w:rsid w:val="12AD49C3"/>
    <w:rsid w:val="12C314C4"/>
    <w:rsid w:val="12CA0955"/>
    <w:rsid w:val="12CB4EA2"/>
    <w:rsid w:val="12CF4D90"/>
    <w:rsid w:val="12F93C4C"/>
    <w:rsid w:val="13012C84"/>
    <w:rsid w:val="130447FB"/>
    <w:rsid w:val="13240B5C"/>
    <w:rsid w:val="13250987"/>
    <w:rsid w:val="1332692A"/>
    <w:rsid w:val="133717B7"/>
    <w:rsid w:val="13372225"/>
    <w:rsid w:val="133D1AD6"/>
    <w:rsid w:val="13483368"/>
    <w:rsid w:val="134F3EA9"/>
    <w:rsid w:val="13556B10"/>
    <w:rsid w:val="135C133F"/>
    <w:rsid w:val="13632E3B"/>
    <w:rsid w:val="137324C7"/>
    <w:rsid w:val="13790E95"/>
    <w:rsid w:val="13805E89"/>
    <w:rsid w:val="13882D5B"/>
    <w:rsid w:val="139854A9"/>
    <w:rsid w:val="13B77708"/>
    <w:rsid w:val="13C748C8"/>
    <w:rsid w:val="13C9697C"/>
    <w:rsid w:val="13E4211E"/>
    <w:rsid w:val="140D5B5D"/>
    <w:rsid w:val="141327D9"/>
    <w:rsid w:val="14262D3D"/>
    <w:rsid w:val="14382605"/>
    <w:rsid w:val="143F2BBE"/>
    <w:rsid w:val="14652C70"/>
    <w:rsid w:val="14756782"/>
    <w:rsid w:val="1477677F"/>
    <w:rsid w:val="147F645A"/>
    <w:rsid w:val="14877C25"/>
    <w:rsid w:val="14942891"/>
    <w:rsid w:val="14A14568"/>
    <w:rsid w:val="14A66D31"/>
    <w:rsid w:val="14C01053"/>
    <w:rsid w:val="14CC2B81"/>
    <w:rsid w:val="14CD18FF"/>
    <w:rsid w:val="14E240E3"/>
    <w:rsid w:val="14EF06A7"/>
    <w:rsid w:val="14FA0BE0"/>
    <w:rsid w:val="14FE4419"/>
    <w:rsid w:val="15006DEB"/>
    <w:rsid w:val="15076101"/>
    <w:rsid w:val="153B246F"/>
    <w:rsid w:val="15435991"/>
    <w:rsid w:val="15481810"/>
    <w:rsid w:val="1556791F"/>
    <w:rsid w:val="156324C8"/>
    <w:rsid w:val="15647C75"/>
    <w:rsid w:val="157570BE"/>
    <w:rsid w:val="158A796A"/>
    <w:rsid w:val="158F4667"/>
    <w:rsid w:val="15921021"/>
    <w:rsid w:val="15922669"/>
    <w:rsid w:val="1594527E"/>
    <w:rsid w:val="159F3788"/>
    <w:rsid w:val="15A411B9"/>
    <w:rsid w:val="15D73B64"/>
    <w:rsid w:val="15E9284B"/>
    <w:rsid w:val="15ED7568"/>
    <w:rsid w:val="15F22E1A"/>
    <w:rsid w:val="16124EEA"/>
    <w:rsid w:val="1616291D"/>
    <w:rsid w:val="16240449"/>
    <w:rsid w:val="163D2492"/>
    <w:rsid w:val="1655367E"/>
    <w:rsid w:val="16656177"/>
    <w:rsid w:val="16802C35"/>
    <w:rsid w:val="16AD5C6A"/>
    <w:rsid w:val="170335D1"/>
    <w:rsid w:val="170C04EB"/>
    <w:rsid w:val="173C0274"/>
    <w:rsid w:val="174E79C3"/>
    <w:rsid w:val="17761B37"/>
    <w:rsid w:val="17CF6FE4"/>
    <w:rsid w:val="18102A58"/>
    <w:rsid w:val="1811123F"/>
    <w:rsid w:val="182F5B16"/>
    <w:rsid w:val="18584643"/>
    <w:rsid w:val="186617DD"/>
    <w:rsid w:val="18903870"/>
    <w:rsid w:val="18936E4E"/>
    <w:rsid w:val="189B60A0"/>
    <w:rsid w:val="18A82F0A"/>
    <w:rsid w:val="18B345F8"/>
    <w:rsid w:val="18C53608"/>
    <w:rsid w:val="18CA3E50"/>
    <w:rsid w:val="18E06A73"/>
    <w:rsid w:val="18E8176B"/>
    <w:rsid w:val="18EB2D15"/>
    <w:rsid w:val="18F86D6F"/>
    <w:rsid w:val="19017CED"/>
    <w:rsid w:val="190262EA"/>
    <w:rsid w:val="190F4876"/>
    <w:rsid w:val="19127DDC"/>
    <w:rsid w:val="191F2278"/>
    <w:rsid w:val="192B3D52"/>
    <w:rsid w:val="197C55DB"/>
    <w:rsid w:val="197E6361"/>
    <w:rsid w:val="19C0257C"/>
    <w:rsid w:val="19C161CC"/>
    <w:rsid w:val="19C47FA1"/>
    <w:rsid w:val="19D17E89"/>
    <w:rsid w:val="19EF7402"/>
    <w:rsid w:val="19FD479A"/>
    <w:rsid w:val="1A01209A"/>
    <w:rsid w:val="1A043C9A"/>
    <w:rsid w:val="1A200723"/>
    <w:rsid w:val="1A2D3E1B"/>
    <w:rsid w:val="1A760C90"/>
    <w:rsid w:val="1A8266EA"/>
    <w:rsid w:val="1A8B54EF"/>
    <w:rsid w:val="1A9155AF"/>
    <w:rsid w:val="1AAD61A3"/>
    <w:rsid w:val="1ACC3E60"/>
    <w:rsid w:val="1ACF7452"/>
    <w:rsid w:val="1ADD513F"/>
    <w:rsid w:val="1AE27648"/>
    <w:rsid w:val="1AF55A2F"/>
    <w:rsid w:val="1B133BE6"/>
    <w:rsid w:val="1B290206"/>
    <w:rsid w:val="1B2F3D19"/>
    <w:rsid w:val="1B345433"/>
    <w:rsid w:val="1B3B6CCB"/>
    <w:rsid w:val="1B4120E9"/>
    <w:rsid w:val="1B472F1E"/>
    <w:rsid w:val="1B550151"/>
    <w:rsid w:val="1B5E63B7"/>
    <w:rsid w:val="1B6805D3"/>
    <w:rsid w:val="1B7C2755"/>
    <w:rsid w:val="1B7D22CF"/>
    <w:rsid w:val="1B8977A1"/>
    <w:rsid w:val="1BA11F74"/>
    <w:rsid w:val="1BAB17FC"/>
    <w:rsid w:val="1BB26748"/>
    <w:rsid w:val="1BC37A69"/>
    <w:rsid w:val="1BE5520D"/>
    <w:rsid w:val="1BF46086"/>
    <w:rsid w:val="1BFD4BEB"/>
    <w:rsid w:val="1C103E5F"/>
    <w:rsid w:val="1C1E50AD"/>
    <w:rsid w:val="1C2F59F0"/>
    <w:rsid w:val="1C424D25"/>
    <w:rsid w:val="1C4428CA"/>
    <w:rsid w:val="1C4762A1"/>
    <w:rsid w:val="1C4A1A87"/>
    <w:rsid w:val="1C8241E8"/>
    <w:rsid w:val="1C9211F8"/>
    <w:rsid w:val="1C9A2B1D"/>
    <w:rsid w:val="1CCB7D67"/>
    <w:rsid w:val="1CF4483D"/>
    <w:rsid w:val="1CF5001F"/>
    <w:rsid w:val="1D166092"/>
    <w:rsid w:val="1D1B1636"/>
    <w:rsid w:val="1D251D52"/>
    <w:rsid w:val="1D262BDD"/>
    <w:rsid w:val="1D3526B9"/>
    <w:rsid w:val="1D6C2B3C"/>
    <w:rsid w:val="1D7E0B47"/>
    <w:rsid w:val="1D933085"/>
    <w:rsid w:val="1DA06086"/>
    <w:rsid w:val="1DA22F7F"/>
    <w:rsid w:val="1DA86E9A"/>
    <w:rsid w:val="1DAF24EA"/>
    <w:rsid w:val="1DB06D3B"/>
    <w:rsid w:val="1DB938A6"/>
    <w:rsid w:val="1E19547E"/>
    <w:rsid w:val="1E317CEF"/>
    <w:rsid w:val="1E414935"/>
    <w:rsid w:val="1E426694"/>
    <w:rsid w:val="1E6A2FDB"/>
    <w:rsid w:val="1E79375A"/>
    <w:rsid w:val="1E80426E"/>
    <w:rsid w:val="1E895B62"/>
    <w:rsid w:val="1E8C785F"/>
    <w:rsid w:val="1E8E14B9"/>
    <w:rsid w:val="1EA25B3F"/>
    <w:rsid w:val="1EC101E2"/>
    <w:rsid w:val="1ECC4EDD"/>
    <w:rsid w:val="1EF37CE9"/>
    <w:rsid w:val="1F0D430E"/>
    <w:rsid w:val="1F132942"/>
    <w:rsid w:val="1F293A4E"/>
    <w:rsid w:val="1F397B07"/>
    <w:rsid w:val="1F3B023A"/>
    <w:rsid w:val="1F4B57C9"/>
    <w:rsid w:val="1F5A4D54"/>
    <w:rsid w:val="1F6B4C5D"/>
    <w:rsid w:val="1F6C3B9F"/>
    <w:rsid w:val="1F82432A"/>
    <w:rsid w:val="1F912657"/>
    <w:rsid w:val="1F9B0028"/>
    <w:rsid w:val="1FAE016C"/>
    <w:rsid w:val="1FAE0366"/>
    <w:rsid w:val="1FD678D4"/>
    <w:rsid w:val="1FE47E84"/>
    <w:rsid w:val="200A1F69"/>
    <w:rsid w:val="200D6AC1"/>
    <w:rsid w:val="200F407E"/>
    <w:rsid w:val="20187A0A"/>
    <w:rsid w:val="202B3268"/>
    <w:rsid w:val="20315FB8"/>
    <w:rsid w:val="203E48B9"/>
    <w:rsid w:val="206E5895"/>
    <w:rsid w:val="207852C2"/>
    <w:rsid w:val="2082013D"/>
    <w:rsid w:val="20827A42"/>
    <w:rsid w:val="20942449"/>
    <w:rsid w:val="20BB67D8"/>
    <w:rsid w:val="20CE5C3A"/>
    <w:rsid w:val="20D30F41"/>
    <w:rsid w:val="20E7393C"/>
    <w:rsid w:val="20E96C9D"/>
    <w:rsid w:val="21022DBC"/>
    <w:rsid w:val="211671C6"/>
    <w:rsid w:val="211D41F1"/>
    <w:rsid w:val="21297000"/>
    <w:rsid w:val="213878FD"/>
    <w:rsid w:val="2146054B"/>
    <w:rsid w:val="216D2798"/>
    <w:rsid w:val="217C7835"/>
    <w:rsid w:val="218C369A"/>
    <w:rsid w:val="218F0B0E"/>
    <w:rsid w:val="2194343D"/>
    <w:rsid w:val="21964EB8"/>
    <w:rsid w:val="21A25EC1"/>
    <w:rsid w:val="21AA3BEB"/>
    <w:rsid w:val="21BA0C51"/>
    <w:rsid w:val="21C2797A"/>
    <w:rsid w:val="21C43548"/>
    <w:rsid w:val="21D566A0"/>
    <w:rsid w:val="21D62D60"/>
    <w:rsid w:val="21D75C95"/>
    <w:rsid w:val="21E70569"/>
    <w:rsid w:val="21EA0BE9"/>
    <w:rsid w:val="21F22B8E"/>
    <w:rsid w:val="21FB2CB9"/>
    <w:rsid w:val="21FB5F7D"/>
    <w:rsid w:val="22197EDF"/>
    <w:rsid w:val="22324C1E"/>
    <w:rsid w:val="22347F7C"/>
    <w:rsid w:val="224509DE"/>
    <w:rsid w:val="224D1352"/>
    <w:rsid w:val="22504248"/>
    <w:rsid w:val="22623F9D"/>
    <w:rsid w:val="226A7C4E"/>
    <w:rsid w:val="22715B41"/>
    <w:rsid w:val="229B2EC8"/>
    <w:rsid w:val="22AA3245"/>
    <w:rsid w:val="22C62CB4"/>
    <w:rsid w:val="22CD11F8"/>
    <w:rsid w:val="22D36FE1"/>
    <w:rsid w:val="22E71B61"/>
    <w:rsid w:val="22FC50DC"/>
    <w:rsid w:val="23051CBA"/>
    <w:rsid w:val="231A026D"/>
    <w:rsid w:val="232A0524"/>
    <w:rsid w:val="233228C9"/>
    <w:rsid w:val="233321EA"/>
    <w:rsid w:val="235B02B8"/>
    <w:rsid w:val="239A015E"/>
    <w:rsid w:val="23A45F21"/>
    <w:rsid w:val="23CA24AB"/>
    <w:rsid w:val="23D141D3"/>
    <w:rsid w:val="23D4311A"/>
    <w:rsid w:val="23DF7A74"/>
    <w:rsid w:val="23F97F2C"/>
    <w:rsid w:val="2410796B"/>
    <w:rsid w:val="2414608C"/>
    <w:rsid w:val="242963B0"/>
    <w:rsid w:val="24331941"/>
    <w:rsid w:val="244C4AE5"/>
    <w:rsid w:val="244F40DC"/>
    <w:rsid w:val="24513083"/>
    <w:rsid w:val="24586E5D"/>
    <w:rsid w:val="245E789A"/>
    <w:rsid w:val="24730383"/>
    <w:rsid w:val="248023A6"/>
    <w:rsid w:val="24885E6F"/>
    <w:rsid w:val="248F6334"/>
    <w:rsid w:val="249F488C"/>
    <w:rsid w:val="24A401FA"/>
    <w:rsid w:val="24A859C4"/>
    <w:rsid w:val="24CF02AD"/>
    <w:rsid w:val="24D53C62"/>
    <w:rsid w:val="24DA26E8"/>
    <w:rsid w:val="24DB2ADC"/>
    <w:rsid w:val="24F13FB0"/>
    <w:rsid w:val="25047841"/>
    <w:rsid w:val="2508183F"/>
    <w:rsid w:val="250B4075"/>
    <w:rsid w:val="252079CC"/>
    <w:rsid w:val="25271FE2"/>
    <w:rsid w:val="2529036B"/>
    <w:rsid w:val="252D7625"/>
    <w:rsid w:val="253A3B18"/>
    <w:rsid w:val="25451ACB"/>
    <w:rsid w:val="254B3669"/>
    <w:rsid w:val="25676E0F"/>
    <w:rsid w:val="256B749B"/>
    <w:rsid w:val="25713838"/>
    <w:rsid w:val="25960F44"/>
    <w:rsid w:val="2596398D"/>
    <w:rsid w:val="25AE51F3"/>
    <w:rsid w:val="25B85CB3"/>
    <w:rsid w:val="25BF524E"/>
    <w:rsid w:val="25C2669F"/>
    <w:rsid w:val="25C47189"/>
    <w:rsid w:val="25D655D1"/>
    <w:rsid w:val="25E12517"/>
    <w:rsid w:val="25F1778F"/>
    <w:rsid w:val="25FA279E"/>
    <w:rsid w:val="260036BA"/>
    <w:rsid w:val="26143832"/>
    <w:rsid w:val="262145A3"/>
    <w:rsid w:val="262B345B"/>
    <w:rsid w:val="2687231D"/>
    <w:rsid w:val="268C0E71"/>
    <w:rsid w:val="26B35159"/>
    <w:rsid w:val="26BB0144"/>
    <w:rsid w:val="26C420CF"/>
    <w:rsid w:val="26CF0F38"/>
    <w:rsid w:val="26D17839"/>
    <w:rsid w:val="26EE2531"/>
    <w:rsid w:val="270F05C7"/>
    <w:rsid w:val="27231186"/>
    <w:rsid w:val="2728134E"/>
    <w:rsid w:val="273073FB"/>
    <w:rsid w:val="27395DB7"/>
    <w:rsid w:val="273D0B66"/>
    <w:rsid w:val="274B64A6"/>
    <w:rsid w:val="274D3C06"/>
    <w:rsid w:val="27856B43"/>
    <w:rsid w:val="278753FA"/>
    <w:rsid w:val="278B2B23"/>
    <w:rsid w:val="27962A06"/>
    <w:rsid w:val="27A209C9"/>
    <w:rsid w:val="27BF157B"/>
    <w:rsid w:val="27CC6639"/>
    <w:rsid w:val="27FC1C19"/>
    <w:rsid w:val="281125DF"/>
    <w:rsid w:val="28240EC9"/>
    <w:rsid w:val="282469DD"/>
    <w:rsid w:val="282A637D"/>
    <w:rsid w:val="283F4BF7"/>
    <w:rsid w:val="28424396"/>
    <w:rsid w:val="2847314A"/>
    <w:rsid w:val="28707ED1"/>
    <w:rsid w:val="287749E6"/>
    <w:rsid w:val="28792B16"/>
    <w:rsid w:val="28835B5B"/>
    <w:rsid w:val="28884231"/>
    <w:rsid w:val="28A76E1C"/>
    <w:rsid w:val="28B62C94"/>
    <w:rsid w:val="28BA74DB"/>
    <w:rsid w:val="28BC2F51"/>
    <w:rsid w:val="28C22708"/>
    <w:rsid w:val="28DC7FAD"/>
    <w:rsid w:val="28EB63A0"/>
    <w:rsid w:val="28F62CDB"/>
    <w:rsid w:val="28FA4EE9"/>
    <w:rsid w:val="2934213D"/>
    <w:rsid w:val="2946002D"/>
    <w:rsid w:val="294B3D8E"/>
    <w:rsid w:val="294D643D"/>
    <w:rsid w:val="295D37D5"/>
    <w:rsid w:val="29697EFE"/>
    <w:rsid w:val="296D4694"/>
    <w:rsid w:val="2982355C"/>
    <w:rsid w:val="29833DAD"/>
    <w:rsid w:val="298A07A1"/>
    <w:rsid w:val="299004C8"/>
    <w:rsid w:val="29963DA6"/>
    <w:rsid w:val="29964AD4"/>
    <w:rsid w:val="299B50C1"/>
    <w:rsid w:val="29BB309D"/>
    <w:rsid w:val="29BC6506"/>
    <w:rsid w:val="29CA23A0"/>
    <w:rsid w:val="29D9423A"/>
    <w:rsid w:val="29E21EDC"/>
    <w:rsid w:val="29E6795E"/>
    <w:rsid w:val="2A0C7C8E"/>
    <w:rsid w:val="2A1A4BA4"/>
    <w:rsid w:val="2A4F61C2"/>
    <w:rsid w:val="2A5F1D4D"/>
    <w:rsid w:val="2A6472B9"/>
    <w:rsid w:val="2A79496D"/>
    <w:rsid w:val="2A834AE2"/>
    <w:rsid w:val="2A860B88"/>
    <w:rsid w:val="2A9F0F61"/>
    <w:rsid w:val="2AA26E22"/>
    <w:rsid w:val="2AC45F51"/>
    <w:rsid w:val="2AD01E80"/>
    <w:rsid w:val="2ADF4B46"/>
    <w:rsid w:val="2B08685D"/>
    <w:rsid w:val="2B0E026C"/>
    <w:rsid w:val="2B18304C"/>
    <w:rsid w:val="2B2553C9"/>
    <w:rsid w:val="2B593B21"/>
    <w:rsid w:val="2B6A310E"/>
    <w:rsid w:val="2B6B51DE"/>
    <w:rsid w:val="2B72448D"/>
    <w:rsid w:val="2B7A7681"/>
    <w:rsid w:val="2B975E3F"/>
    <w:rsid w:val="2B9F72B3"/>
    <w:rsid w:val="2BBC09D5"/>
    <w:rsid w:val="2BBE2348"/>
    <w:rsid w:val="2BD0562B"/>
    <w:rsid w:val="2BE067AD"/>
    <w:rsid w:val="2BFA0E59"/>
    <w:rsid w:val="2C241BB1"/>
    <w:rsid w:val="2C3075B0"/>
    <w:rsid w:val="2C347EE5"/>
    <w:rsid w:val="2C6725D8"/>
    <w:rsid w:val="2CAC52DC"/>
    <w:rsid w:val="2CB41586"/>
    <w:rsid w:val="2CB8526E"/>
    <w:rsid w:val="2CC21C5E"/>
    <w:rsid w:val="2CCF63CB"/>
    <w:rsid w:val="2CDE08F1"/>
    <w:rsid w:val="2CF21FCD"/>
    <w:rsid w:val="2CFC349A"/>
    <w:rsid w:val="2D081650"/>
    <w:rsid w:val="2D29499E"/>
    <w:rsid w:val="2D2B6687"/>
    <w:rsid w:val="2D2E08D1"/>
    <w:rsid w:val="2D342B54"/>
    <w:rsid w:val="2D3D4438"/>
    <w:rsid w:val="2D61510A"/>
    <w:rsid w:val="2D744C1B"/>
    <w:rsid w:val="2D8A1BDB"/>
    <w:rsid w:val="2D94165F"/>
    <w:rsid w:val="2D9A0C12"/>
    <w:rsid w:val="2D9B78CA"/>
    <w:rsid w:val="2D9D5DE8"/>
    <w:rsid w:val="2D9F6091"/>
    <w:rsid w:val="2DB10224"/>
    <w:rsid w:val="2DB8006C"/>
    <w:rsid w:val="2DD86B9B"/>
    <w:rsid w:val="2DE86A71"/>
    <w:rsid w:val="2DE96E4D"/>
    <w:rsid w:val="2DEA6ABF"/>
    <w:rsid w:val="2DFB5DAD"/>
    <w:rsid w:val="2E047022"/>
    <w:rsid w:val="2E0E0365"/>
    <w:rsid w:val="2E153F15"/>
    <w:rsid w:val="2E1F0FC6"/>
    <w:rsid w:val="2E257C1F"/>
    <w:rsid w:val="2E27679A"/>
    <w:rsid w:val="2E2B1CD8"/>
    <w:rsid w:val="2E380970"/>
    <w:rsid w:val="2E3B5C95"/>
    <w:rsid w:val="2E5C7F4D"/>
    <w:rsid w:val="2E667E4E"/>
    <w:rsid w:val="2E6946E9"/>
    <w:rsid w:val="2E836537"/>
    <w:rsid w:val="2E882F18"/>
    <w:rsid w:val="2E8832E4"/>
    <w:rsid w:val="2E8C789D"/>
    <w:rsid w:val="2EAF3652"/>
    <w:rsid w:val="2ECA713A"/>
    <w:rsid w:val="2EE55E38"/>
    <w:rsid w:val="2EE735F9"/>
    <w:rsid w:val="2EFE3726"/>
    <w:rsid w:val="2F0A4D35"/>
    <w:rsid w:val="2F1D5370"/>
    <w:rsid w:val="2F29211D"/>
    <w:rsid w:val="2F2B6C46"/>
    <w:rsid w:val="2F597E33"/>
    <w:rsid w:val="2F676E0E"/>
    <w:rsid w:val="2F7167A8"/>
    <w:rsid w:val="2F7F06BF"/>
    <w:rsid w:val="2F9A1357"/>
    <w:rsid w:val="2FB33906"/>
    <w:rsid w:val="2FBF292F"/>
    <w:rsid w:val="2FC343E6"/>
    <w:rsid w:val="2FE5658B"/>
    <w:rsid w:val="30087B88"/>
    <w:rsid w:val="302F25B9"/>
    <w:rsid w:val="304F14EE"/>
    <w:rsid w:val="307C1E8F"/>
    <w:rsid w:val="30962546"/>
    <w:rsid w:val="309B3C3A"/>
    <w:rsid w:val="309D459D"/>
    <w:rsid w:val="30B87C7E"/>
    <w:rsid w:val="30CC6AB7"/>
    <w:rsid w:val="30E417D2"/>
    <w:rsid w:val="30FD3ECD"/>
    <w:rsid w:val="30FD4EC2"/>
    <w:rsid w:val="31226054"/>
    <w:rsid w:val="313209BC"/>
    <w:rsid w:val="313F3E9B"/>
    <w:rsid w:val="314109AF"/>
    <w:rsid w:val="31493F87"/>
    <w:rsid w:val="314A6B12"/>
    <w:rsid w:val="315B58F0"/>
    <w:rsid w:val="315E7468"/>
    <w:rsid w:val="31632069"/>
    <w:rsid w:val="316F2852"/>
    <w:rsid w:val="318F03E9"/>
    <w:rsid w:val="319A62F6"/>
    <w:rsid w:val="319F0F5B"/>
    <w:rsid w:val="31BC74B3"/>
    <w:rsid w:val="31C6650C"/>
    <w:rsid w:val="31EE68B2"/>
    <w:rsid w:val="31F353F8"/>
    <w:rsid w:val="31FE4458"/>
    <w:rsid w:val="320B3CF6"/>
    <w:rsid w:val="32104F6F"/>
    <w:rsid w:val="32163F1B"/>
    <w:rsid w:val="321E3342"/>
    <w:rsid w:val="32206078"/>
    <w:rsid w:val="322562EC"/>
    <w:rsid w:val="322F20D2"/>
    <w:rsid w:val="32463145"/>
    <w:rsid w:val="324F25E7"/>
    <w:rsid w:val="325C4C1E"/>
    <w:rsid w:val="326368B8"/>
    <w:rsid w:val="327F2B12"/>
    <w:rsid w:val="32901C99"/>
    <w:rsid w:val="329E70E2"/>
    <w:rsid w:val="329F7616"/>
    <w:rsid w:val="32A026C6"/>
    <w:rsid w:val="32A215D8"/>
    <w:rsid w:val="32B062CF"/>
    <w:rsid w:val="32EE6C20"/>
    <w:rsid w:val="330F50B3"/>
    <w:rsid w:val="33117E63"/>
    <w:rsid w:val="33256CB0"/>
    <w:rsid w:val="333E034C"/>
    <w:rsid w:val="33460DA3"/>
    <w:rsid w:val="335A3422"/>
    <w:rsid w:val="336753C3"/>
    <w:rsid w:val="33744A9B"/>
    <w:rsid w:val="337F4385"/>
    <w:rsid w:val="33804A5C"/>
    <w:rsid w:val="338E1523"/>
    <w:rsid w:val="33A91A6C"/>
    <w:rsid w:val="33BD280D"/>
    <w:rsid w:val="33C5366A"/>
    <w:rsid w:val="33D10220"/>
    <w:rsid w:val="33D5453A"/>
    <w:rsid w:val="33D75366"/>
    <w:rsid w:val="33DF0F6C"/>
    <w:rsid w:val="33E45993"/>
    <w:rsid w:val="33E531ED"/>
    <w:rsid w:val="34183BE1"/>
    <w:rsid w:val="341E15E8"/>
    <w:rsid w:val="34256C0A"/>
    <w:rsid w:val="342B4217"/>
    <w:rsid w:val="34431A41"/>
    <w:rsid w:val="34500BD8"/>
    <w:rsid w:val="34630B8E"/>
    <w:rsid w:val="346F46E8"/>
    <w:rsid w:val="34851EF5"/>
    <w:rsid w:val="34B93F3B"/>
    <w:rsid w:val="34CB5A03"/>
    <w:rsid w:val="34D54C4C"/>
    <w:rsid w:val="3510642B"/>
    <w:rsid w:val="351766B7"/>
    <w:rsid w:val="351B42D6"/>
    <w:rsid w:val="35296273"/>
    <w:rsid w:val="353035CA"/>
    <w:rsid w:val="356B0349"/>
    <w:rsid w:val="35774B83"/>
    <w:rsid w:val="359A7184"/>
    <w:rsid w:val="359C2A96"/>
    <w:rsid w:val="35AF7631"/>
    <w:rsid w:val="35B63AE8"/>
    <w:rsid w:val="35C51F37"/>
    <w:rsid w:val="35D0265D"/>
    <w:rsid w:val="35D971B1"/>
    <w:rsid w:val="35DD2DB2"/>
    <w:rsid w:val="35E12065"/>
    <w:rsid w:val="35E60431"/>
    <w:rsid w:val="35EC0706"/>
    <w:rsid w:val="35F66B5D"/>
    <w:rsid w:val="35FC2CCE"/>
    <w:rsid w:val="35FD7DFC"/>
    <w:rsid w:val="36187795"/>
    <w:rsid w:val="361E0F3F"/>
    <w:rsid w:val="361E52B8"/>
    <w:rsid w:val="361F6330"/>
    <w:rsid w:val="362B2082"/>
    <w:rsid w:val="36446E40"/>
    <w:rsid w:val="36711AFF"/>
    <w:rsid w:val="369E4674"/>
    <w:rsid w:val="36AC4A7D"/>
    <w:rsid w:val="36B72D6F"/>
    <w:rsid w:val="36BD2362"/>
    <w:rsid w:val="36BD2630"/>
    <w:rsid w:val="36CD33C1"/>
    <w:rsid w:val="36D33501"/>
    <w:rsid w:val="36D62C3D"/>
    <w:rsid w:val="36E475C0"/>
    <w:rsid w:val="36E77ABB"/>
    <w:rsid w:val="36F22F90"/>
    <w:rsid w:val="36F74419"/>
    <w:rsid w:val="37046276"/>
    <w:rsid w:val="371476AA"/>
    <w:rsid w:val="373636DE"/>
    <w:rsid w:val="374F31D7"/>
    <w:rsid w:val="37563BC1"/>
    <w:rsid w:val="377A66E5"/>
    <w:rsid w:val="37863DBA"/>
    <w:rsid w:val="378972E8"/>
    <w:rsid w:val="37930228"/>
    <w:rsid w:val="37A10382"/>
    <w:rsid w:val="37A8156C"/>
    <w:rsid w:val="37BE69E8"/>
    <w:rsid w:val="37C459C7"/>
    <w:rsid w:val="37D301AE"/>
    <w:rsid w:val="37D772D4"/>
    <w:rsid w:val="37DA6650"/>
    <w:rsid w:val="37DE1983"/>
    <w:rsid w:val="382421F7"/>
    <w:rsid w:val="38394BBA"/>
    <w:rsid w:val="384D09BB"/>
    <w:rsid w:val="38787C28"/>
    <w:rsid w:val="387C21AA"/>
    <w:rsid w:val="387F70D5"/>
    <w:rsid w:val="3885236D"/>
    <w:rsid w:val="38882213"/>
    <w:rsid w:val="389127A7"/>
    <w:rsid w:val="389E156B"/>
    <w:rsid w:val="38A75D17"/>
    <w:rsid w:val="38B361AD"/>
    <w:rsid w:val="38B64CF2"/>
    <w:rsid w:val="38BB3DED"/>
    <w:rsid w:val="38C30F0F"/>
    <w:rsid w:val="38CC3A88"/>
    <w:rsid w:val="38DE3FBD"/>
    <w:rsid w:val="3903514B"/>
    <w:rsid w:val="39115230"/>
    <w:rsid w:val="391F2030"/>
    <w:rsid w:val="39225697"/>
    <w:rsid w:val="39327DC3"/>
    <w:rsid w:val="39416688"/>
    <w:rsid w:val="394303BD"/>
    <w:rsid w:val="395E1F54"/>
    <w:rsid w:val="39AC4F41"/>
    <w:rsid w:val="39AE06B0"/>
    <w:rsid w:val="39D96F43"/>
    <w:rsid w:val="39E013AD"/>
    <w:rsid w:val="39EA5115"/>
    <w:rsid w:val="39F4674F"/>
    <w:rsid w:val="3A086D13"/>
    <w:rsid w:val="3A2A1C19"/>
    <w:rsid w:val="3A353BD7"/>
    <w:rsid w:val="3A536CEE"/>
    <w:rsid w:val="3A5A7DFC"/>
    <w:rsid w:val="3A6626F8"/>
    <w:rsid w:val="3A6E1027"/>
    <w:rsid w:val="3A702D11"/>
    <w:rsid w:val="3A714367"/>
    <w:rsid w:val="3AA424A2"/>
    <w:rsid w:val="3AAF422F"/>
    <w:rsid w:val="3AC751ED"/>
    <w:rsid w:val="3ADD321E"/>
    <w:rsid w:val="3AE41648"/>
    <w:rsid w:val="3AEC1C51"/>
    <w:rsid w:val="3AF74521"/>
    <w:rsid w:val="3AF75906"/>
    <w:rsid w:val="3B0E15E8"/>
    <w:rsid w:val="3B0F7C09"/>
    <w:rsid w:val="3B117F9C"/>
    <w:rsid w:val="3B1948DC"/>
    <w:rsid w:val="3B20668C"/>
    <w:rsid w:val="3B276859"/>
    <w:rsid w:val="3B50768D"/>
    <w:rsid w:val="3B603E7A"/>
    <w:rsid w:val="3B7D13BE"/>
    <w:rsid w:val="3B7E0DE6"/>
    <w:rsid w:val="3B926847"/>
    <w:rsid w:val="3B9D7C92"/>
    <w:rsid w:val="3BB16B65"/>
    <w:rsid w:val="3BD13232"/>
    <w:rsid w:val="3BF85253"/>
    <w:rsid w:val="3BF94806"/>
    <w:rsid w:val="3C093C2F"/>
    <w:rsid w:val="3C2E1829"/>
    <w:rsid w:val="3C3349C7"/>
    <w:rsid w:val="3C426CC8"/>
    <w:rsid w:val="3C4A0381"/>
    <w:rsid w:val="3C4D1661"/>
    <w:rsid w:val="3C5C66F4"/>
    <w:rsid w:val="3CC118B2"/>
    <w:rsid w:val="3CCE53E9"/>
    <w:rsid w:val="3CD35738"/>
    <w:rsid w:val="3CDE7D5B"/>
    <w:rsid w:val="3CEE017E"/>
    <w:rsid w:val="3D152CA3"/>
    <w:rsid w:val="3D293E85"/>
    <w:rsid w:val="3D2D46C8"/>
    <w:rsid w:val="3D367DF1"/>
    <w:rsid w:val="3D633A1F"/>
    <w:rsid w:val="3D7339CC"/>
    <w:rsid w:val="3D7B10A7"/>
    <w:rsid w:val="3D8069D5"/>
    <w:rsid w:val="3D85009B"/>
    <w:rsid w:val="3D8B1D37"/>
    <w:rsid w:val="3D9809C9"/>
    <w:rsid w:val="3DA00AA2"/>
    <w:rsid w:val="3DB153F8"/>
    <w:rsid w:val="3DBA45D6"/>
    <w:rsid w:val="3DD600F2"/>
    <w:rsid w:val="3DE55A4E"/>
    <w:rsid w:val="3DE72946"/>
    <w:rsid w:val="3DF57BF6"/>
    <w:rsid w:val="3DFE23FA"/>
    <w:rsid w:val="3E06772B"/>
    <w:rsid w:val="3E086347"/>
    <w:rsid w:val="3E1C5A54"/>
    <w:rsid w:val="3E45548A"/>
    <w:rsid w:val="3E4F33DB"/>
    <w:rsid w:val="3E52118D"/>
    <w:rsid w:val="3E5D0027"/>
    <w:rsid w:val="3E702447"/>
    <w:rsid w:val="3E7D4906"/>
    <w:rsid w:val="3E8203FB"/>
    <w:rsid w:val="3E845248"/>
    <w:rsid w:val="3E856121"/>
    <w:rsid w:val="3E893C25"/>
    <w:rsid w:val="3E9C04AF"/>
    <w:rsid w:val="3E9D4889"/>
    <w:rsid w:val="3EA75CCD"/>
    <w:rsid w:val="3EB55273"/>
    <w:rsid w:val="3ED52A99"/>
    <w:rsid w:val="3ED63774"/>
    <w:rsid w:val="3ED6793E"/>
    <w:rsid w:val="3EE14E58"/>
    <w:rsid w:val="3EE31345"/>
    <w:rsid w:val="3EE604F2"/>
    <w:rsid w:val="3EEE10D5"/>
    <w:rsid w:val="3EEE1219"/>
    <w:rsid w:val="3EF66368"/>
    <w:rsid w:val="3EF81D96"/>
    <w:rsid w:val="3EFB57D7"/>
    <w:rsid w:val="3EFE24D5"/>
    <w:rsid w:val="3EFF1BB5"/>
    <w:rsid w:val="3F1456B1"/>
    <w:rsid w:val="3F3C05C6"/>
    <w:rsid w:val="3F45774A"/>
    <w:rsid w:val="3F49239F"/>
    <w:rsid w:val="3F4A1FCC"/>
    <w:rsid w:val="3F5E3CA4"/>
    <w:rsid w:val="3F69601E"/>
    <w:rsid w:val="3F7E15E5"/>
    <w:rsid w:val="3F8A1E81"/>
    <w:rsid w:val="3F8C0B0F"/>
    <w:rsid w:val="3F9954D0"/>
    <w:rsid w:val="3F9B2628"/>
    <w:rsid w:val="3F9D459D"/>
    <w:rsid w:val="3F9E281C"/>
    <w:rsid w:val="3FBB0359"/>
    <w:rsid w:val="3FF11193"/>
    <w:rsid w:val="3FFF5E9E"/>
    <w:rsid w:val="403943A4"/>
    <w:rsid w:val="403C77C4"/>
    <w:rsid w:val="403F30B1"/>
    <w:rsid w:val="404C726B"/>
    <w:rsid w:val="405821DD"/>
    <w:rsid w:val="40790228"/>
    <w:rsid w:val="407C6734"/>
    <w:rsid w:val="408B6389"/>
    <w:rsid w:val="409830B8"/>
    <w:rsid w:val="409E437D"/>
    <w:rsid w:val="40AE0E96"/>
    <w:rsid w:val="40EC3643"/>
    <w:rsid w:val="40FF266D"/>
    <w:rsid w:val="410F59A5"/>
    <w:rsid w:val="411C6F48"/>
    <w:rsid w:val="4141328B"/>
    <w:rsid w:val="41447DEB"/>
    <w:rsid w:val="414D7F8B"/>
    <w:rsid w:val="415C5308"/>
    <w:rsid w:val="416A1F77"/>
    <w:rsid w:val="416E0909"/>
    <w:rsid w:val="41A52BAB"/>
    <w:rsid w:val="41A91A46"/>
    <w:rsid w:val="41AA7ED9"/>
    <w:rsid w:val="41CF0464"/>
    <w:rsid w:val="41E52CED"/>
    <w:rsid w:val="42034A4A"/>
    <w:rsid w:val="420846AC"/>
    <w:rsid w:val="420E1FB0"/>
    <w:rsid w:val="42143CDC"/>
    <w:rsid w:val="423660F0"/>
    <w:rsid w:val="42590B3C"/>
    <w:rsid w:val="426A3937"/>
    <w:rsid w:val="426B4B07"/>
    <w:rsid w:val="42877AC9"/>
    <w:rsid w:val="42983698"/>
    <w:rsid w:val="42AC3269"/>
    <w:rsid w:val="42CD2946"/>
    <w:rsid w:val="42EF35DF"/>
    <w:rsid w:val="43016DAF"/>
    <w:rsid w:val="4307171E"/>
    <w:rsid w:val="431022E1"/>
    <w:rsid w:val="43444575"/>
    <w:rsid w:val="43503576"/>
    <w:rsid w:val="43527BF6"/>
    <w:rsid w:val="43542AEE"/>
    <w:rsid w:val="435D4864"/>
    <w:rsid w:val="436A2DF7"/>
    <w:rsid w:val="437010FD"/>
    <w:rsid w:val="437A1703"/>
    <w:rsid w:val="439E353F"/>
    <w:rsid w:val="43A044FF"/>
    <w:rsid w:val="43DB70A8"/>
    <w:rsid w:val="43E572A2"/>
    <w:rsid w:val="440D28AB"/>
    <w:rsid w:val="442516DD"/>
    <w:rsid w:val="4427677D"/>
    <w:rsid w:val="442E0339"/>
    <w:rsid w:val="44337121"/>
    <w:rsid w:val="4464308B"/>
    <w:rsid w:val="4490726B"/>
    <w:rsid w:val="449227E4"/>
    <w:rsid w:val="44A71C36"/>
    <w:rsid w:val="44AA3391"/>
    <w:rsid w:val="44C27B5E"/>
    <w:rsid w:val="44DC0BFE"/>
    <w:rsid w:val="44E13253"/>
    <w:rsid w:val="44E92E74"/>
    <w:rsid w:val="44EC5DA5"/>
    <w:rsid w:val="44FE12FA"/>
    <w:rsid w:val="45040876"/>
    <w:rsid w:val="4526090A"/>
    <w:rsid w:val="452A45B3"/>
    <w:rsid w:val="453710FA"/>
    <w:rsid w:val="45597E16"/>
    <w:rsid w:val="4568307B"/>
    <w:rsid w:val="456E71DD"/>
    <w:rsid w:val="459869E9"/>
    <w:rsid w:val="45A33BEE"/>
    <w:rsid w:val="45AC0DC1"/>
    <w:rsid w:val="45BB578B"/>
    <w:rsid w:val="45D9323C"/>
    <w:rsid w:val="45DC3528"/>
    <w:rsid w:val="460862B0"/>
    <w:rsid w:val="46125D10"/>
    <w:rsid w:val="46140595"/>
    <w:rsid w:val="461E5B77"/>
    <w:rsid w:val="464E5997"/>
    <w:rsid w:val="46621A69"/>
    <w:rsid w:val="46656EFB"/>
    <w:rsid w:val="4675129F"/>
    <w:rsid w:val="46775F16"/>
    <w:rsid w:val="46931265"/>
    <w:rsid w:val="46A6392C"/>
    <w:rsid w:val="46C16034"/>
    <w:rsid w:val="46C250EA"/>
    <w:rsid w:val="46E1118A"/>
    <w:rsid w:val="46E978C0"/>
    <w:rsid w:val="46F65B4C"/>
    <w:rsid w:val="470013AD"/>
    <w:rsid w:val="47120DCD"/>
    <w:rsid w:val="47234DEA"/>
    <w:rsid w:val="47372C53"/>
    <w:rsid w:val="47486C79"/>
    <w:rsid w:val="474B66AA"/>
    <w:rsid w:val="47560BA2"/>
    <w:rsid w:val="475F509C"/>
    <w:rsid w:val="47A973DE"/>
    <w:rsid w:val="47AF4638"/>
    <w:rsid w:val="47B91883"/>
    <w:rsid w:val="47C44475"/>
    <w:rsid w:val="47C60393"/>
    <w:rsid w:val="47CD603E"/>
    <w:rsid w:val="47CE714F"/>
    <w:rsid w:val="47F01C32"/>
    <w:rsid w:val="47FC671A"/>
    <w:rsid w:val="480272C4"/>
    <w:rsid w:val="480B1D38"/>
    <w:rsid w:val="481826BE"/>
    <w:rsid w:val="484A2FBF"/>
    <w:rsid w:val="48632C70"/>
    <w:rsid w:val="486F7B48"/>
    <w:rsid w:val="48712588"/>
    <w:rsid w:val="488F055B"/>
    <w:rsid w:val="48967A51"/>
    <w:rsid w:val="4898730E"/>
    <w:rsid w:val="48D05B76"/>
    <w:rsid w:val="48D11C88"/>
    <w:rsid w:val="48D25523"/>
    <w:rsid w:val="48DA6AAF"/>
    <w:rsid w:val="48DC118F"/>
    <w:rsid w:val="4913710C"/>
    <w:rsid w:val="491843BB"/>
    <w:rsid w:val="49225BF6"/>
    <w:rsid w:val="492B34CB"/>
    <w:rsid w:val="493E603A"/>
    <w:rsid w:val="495138A9"/>
    <w:rsid w:val="49560B39"/>
    <w:rsid w:val="49693D02"/>
    <w:rsid w:val="4970193C"/>
    <w:rsid w:val="49706721"/>
    <w:rsid w:val="497250B1"/>
    <w:rsid w:val="497D601F"/>
    <w:rsid w:val="49820006"/>
    <w:rsid w:val="49824235"/>
    <w:rsid w:val="49861DF0"/>
    <w:rsid w:val="49937540"/>
    <w:rsid w:val="49A76BF3"/>
    <w:rsid w:val="49A93590"/>
    <w:rsid w:val="49AA02CD"/>
    <w:rsid w:val="49D344EB"/>
    <w:rsid w:val="49E2102F"/>
    <w:rsid w:val="49E46810"/>
    <w:rsid w:val="49E62A1A"/>
    <w:rsid w:val="4A06632F"/>
    <w:rsid w:val="4A223512"/>
    <w:rsid w:val="4A387F67"/>
    <w:rsid w:val="4A3D46F4"/>
    <w:rsid w:val="4A531D20"/>
    <w:rsid w:val="4A5F7906"/>
    <w:rsid w:val="4A791C54"/>
    <w:rsid w:val="4A967E3F"/>
    <w:rsid w:val="4AA85943"/>
    <w:rsid w:val="4AA9013A"/>
    <w:rsid w:val="4ABB25BB"/>
    <w:rsid w:val="4ADF1604"/>
    <w:rsid w:val="4AE2174F"/>
    <w:rsid w:val="4AE83F43"/>
    <w:rsid w:val="4AF57F15"/>
    <w:rsid w:val="4AFA57FC"/>
    <w:rsid w:val="4B026912"/>
    <w:rsid w:val="4B04404D"/>
    <w:rsid w:val="4B0C71B1"/>
    <w:rsid w:val="4B320562"/>
    <w:rsid w:val="4B4C0177"/>
    <w:rsid w:val="4B584636"/>
    <w:rsid w:val="4B716940"/>
    <w:rsid w:val="4B730687"/>
    <w:rsid w:val="4B7D2A3E"/>
    <w:rsid w:val="4B864733"/>
    <w:rsid w:val="4B8672C1"/>
    <w:rsid w:val="4BA67694"/>
    <w:rsid w:val="4BB93B01"/>
    <w:rsid w:val="4BCB1CA9"/>
    <w:rsid w:val="4BCE314C"/>
    <w:rsid w:val="4BD40900"/>
    <w:rsid w:val="4BDE0179"/>
    <w:rsid w:val="4BDF554A"/>
    <w:rsid w:val="4BEA27BB"/>
    <w:rsid w:val="4BFA78F8"/>
    <w:rsid w:val="4C034ADB"/>
    <w:rsid w:val="4C20483C"/>
    <w:rsid w:val="4C253A75"/>
    <w:rsid w:val="4C254B31"/>
    <w:rsid w:val="4C291B9C"/>
    <w:rsid w:val="4C2E52CF"/>
    <w:rsid w:val="4C336E2B"/>
    <w:rsid w:val="4C375B94"/>
    <w:rsid w:val="4C5446F1"/>
    <w:rsid w:val="4C5F7C9A"/>
    <w:rsid w:val="4C610DF6"/>
    <w:rsid w:val="4C7725F1"/>
    <w:rsid w:val="4C822AC3"/>
    <w:rsid w:val="4C856CDC"/>
    <w:rsid w:val="4C90550B"/>
    <w:rsid w:val="4CC6601C"/>
    <w:rsid w:val="4CD67347"/>
    <w:rsid w:val="4CDF1BF4"/>
    <w:rsid w:val="4D014060"/>
    <w:rsid w:val="4D037273"/>
    <w:rsid w:val="4D155616"/>
    <w:rsid w:val="4D266025"/>
    <w:rsid w:val="4D3A19B4"/>
    <w:rsid w:val="4D4C3FED"/>
    <w:rsid w:val="4D6F3DD5"/>
    <w:rsid w:val="4D77007F"/>
    <w:rsid w:val="4D856198"/>
    <w:rsid w:val="4DB02F7B"/>
    <w:rsid w:val="4DB51C0F"/>
    <w:rsid w:val="4DB84DDE"/>
    <w:rsid w:val="4DDB3FA9"/>
    <w:rsid w:val="4DE968F7"/>
    <w:rsid w:val="4DF96293"/>
    <w:rsid w:val="4DFD475E"/>
    <w:rsid w:val="4E04765A"/>
    <w:rsid w:val="4E090BF9"/>
    <w:rsid w:val="4E104A49"/>
    <w:rsid w:val="4E1F0B9F"/>
    <w:rsid w:val="4E20755D"/>
    <w:rsid w:val="4E242826"/>
    <w:rsid w:val="4E276237"/>
    <w:rsid w:val="4E665085"/>
    <w:rsid w:val="4E716476"/>
    <w:rsid w:val="4E72155B"/>
    <w:rsid w:val="4E772448"/>
    <w:rsid w:val="4E7B4459"/>
    <w:rsid w:val="4E7B6D3A"/>
    <w:rsid w:val="4E7D1857"/>
    <w:rsid w:val="4E8168AE"/>
    <w:rsid w:val="4E863190"/>
    <w:rsid w:val="4E8E702E"/>
    <w:rsid w:val="4E9451A4"/>
    <w:rsid w:val="4E962B7A"/>
    <w:rsid w:val="4ECD5680"/>
    <w:rsid w:val="4ED063B8"/>
    <w:rsid w:val="4EDD697F"/>
    <w:rsid w:val="4EE72A9B"/>
    <w:rsid w:val="4EF31A81"/>
    <w:rsid w:val="4F0E4ACA"/>
    <w:rsid w:val="4F2F7883"/>
    <w:rsid w:val="4F3D3259"/>
    <w:rsid w:val="4F512FF5"/>
    <w:rsid w:val="4F5C6952"/>
    <w:rsid w:val="4F5C7246"/>
    <w:rsid w:val="4F831E69"/>
    <w:rsid w:val="4F935A02"/>
    <w:rsid w:val="4F9446CB"/>
    <w:rsid w:val="4F995F30"/>
    <w:rsid w:val="4FBF2409"/>
    <w:rsid w:val="4FC52FC1"/>
    <w:rsid w:val="4FC922E5"/>
    <w:rsid w:val="4FD97E2F"/>
    <w:rsid w:val="4FEB16E2"/>
    <w:rsid w:val="4FEF3CA2"/>
    <w:rsid w:val="4FF02796"/>
    <w:rsid w:val="4FFF3D47"/>
    <w:rsid w:val="50085A55"/>
    <w:rsid w:val="500C1400"/>
    <w:rsid w:val="502C7EF5"/>
    <w:rsid w:val="50367965"/>
    <w:rsid w:val="503C39C6"/>
    <w:rsid w:val="503F4F70"/>
    <w:rsid w:val="506C1274"/>
    <w:rsid w:val="509114B0"/>
    <w:rsid w:val="50944A01"/>
    <w:rsid w:val="50AD776A"/>
    <w:rsid w:val="50BE5DF3"/>
    <w:rsid w:val="50C3758A"/>
    <w:rsid w:val="50C86F3E"/>
    <w:rsid w:val="50CF4063"/>
    <w:rsid w:val="50F32B74"/>
    <w:rsid w:val="51024709"/>
    <w:rsid w:val="51051FF6"/>
    <w:rsid w:val="512F421F"/>
    <w:rsid w:val="51451E29"/>
    <w:rsid w:val="515A2CFD"/>
    <w:rsid w:val="516D5091"/>
    <w:rsid w:val="51864439"/>
    <w:rsid w:val="519A2A78"/>
    <w:rsid w:val="51A047E6"/>
    <w:rsid w:val="51B4511C"/>
    <w:rsid w:val="51BA4860"/>
    <w:rsid w:val="51C05775"/>
    <w:rsid w:val="51D712C2"/>
    <w:rsid w:val="51DE472C"/>
    <w:rsid w:val="51E678C9"/>
    <w:rsid w:val="51E97F03"/>
    <w:rsid w:val="5204348C"/>
    <w:rsid w:val="520A373D"/>
    <w:rsid w:val="520F0E47"/>
    <w:rsid w:val="52403C91"/>
    <w:rsid w:val="5268268C"/>
    <w:rsid w:val="52774434"/>
    <w:rsid w:val="529852E5"/>
    <w:rsid w:val="52A04D61"/>
    <w:rsid w:val="52BB16FD"/>
    <w:rsid w:val="52CE3772"/>
    <w:rsid w:val="52D15000"/>
    <w:rsid w:val="52D553A4"/>
    <w:rsid w:val="52EE53C5"/>
    <w:rsid w:val="5311436F"/>
    <w:rsid w:val="533159DF"/>
    <w:rsid w:val="534519F3"/>
    <w:rsid w:val="53500C56"/>
    <w:rsid w:val="536A616D"/>
    <w:rsid w:val="538128D7"/>
    <w:rsid w:val="53812BBA"/>
    <w:rsid w:val="53A226CB"/>
    <w:rsid w:val="53AC4131"/>
    <w:rsid w:val="53C700CA"/>
    <w:rsid w:val="53DC638B"/>
    <w:rsid w:val="53E57D1B"/>
    <w:rsid w:val="540A26B8"/>
    <w:rsid w:val="54152F01"/>
    <w:rsid w:val="541A1764"/>
    <w:rsid w:val="541F0FA7"/>
    <w:rsid w:val="543F6AE4"/>
    <w:rsid w:val="5454111A"/>
    <w:rsid w:val="54694615"/>
    <w:rsid w:val="5493300F"/>
    <w:rsid w:val="549C1039"/>
    <w:rsid w:val="54A733BE"/>
    <w:rsid w:val="54BB3E2F"/>
    <w:rsid w:val="54BD3FC6"/>
    <w:rsid w:val="54C7036C"/>
    <w:rsid w:val="54D92436"/>
    <w:rsid w:val="54F902CC"/>
    <w:rsid w:val="54FF7B25"/>
    <w:rsid w:val="550E3F58"/>
    <w:rsid w:val="55174D39"/>
    <w:rsid w:val="551D0424"/>
    <w:rsid w:val="555A7097"/>
    <w:rsid w:val="556D63B0"/>
    <w:rsid w:val="55843793"/>
    <w:rsid w:val="559C6938"/>
    <w:rsid w:val="55B9396A"/>
    <w:rsid w:val="55C353F1"/>
    <w:rsid w:val="55FC5550"/>
    <w:rsid w:val="560D5E0B"/>
    <w:rsid w:val="56101E72"/>
    <w:rsid w:val="56267B27"/>
    <w:rsid w:val="562C577E"/>
    <w:rsid w:val="563F2BD2"/>
    <w:rsid w:val="56452B83"/>
    <w:rsid w:val="56504935"/>
    <w:rsid w:val="567E1F6F"/>
    <w:rsid w:val="568D0B8C"/>
    <w:rsid w:val="56A9293A"/>
    <w:rsid w:val="56C7736B"/>
    <w:rsid w:val="56CD472C"/>
    <w:rsid w:val="56D06BDA"/>
    <w:rsid w:val="56D95BFA"/>
    <w:rsid w:val="56DC66B6"/>
    <w:rsid w:val="5704367F"/>
    <w:rsid w:val="572447FF"/>
    <w:rsid w:val="57266590"/>
    <w:rsid w:val="573118FA"/>
    <w:rsid w:val="57394843"/>
    <w:rsid w:val="57407468"/>
    <w:rsid w:val="575C2DCF"/>
    <w:rsid w:val="575F6E13"/>
    <w:rsid w:val="57711FE2"/>
    <w:rsid w:val="578843C5"/>
    <w:rsid w:val="578A4C2F"/>
    <w:rsid w:val="578B4DFB"/>
    <w:rsid w:val="578B7B6E"/>
    <w:rsid w:val="578C4DA1"/>
    <w:rsid w:val="578E472F"/>
    <w:rsid w:val="579411ED"/>
    <w:rsid w:val="57972967"/>
    <w:rsid w:val="57A21C60"/>
    <w:rsid w:val="57A4749B"/>
    <w:rsid w:val="57A6729B"/>
    <w:rsid w:val="57A83BA8"/>
    <w:rsid w:val="57AC7EF8"/>
    <w:rsid w:val="57B76CC9"/>
    <w:rsid w:val="57BE6133"/>
    <w:rsid w:val="57D17222"/>
    <w:rsid w:val="57E44C1E"/>
    <w:rsid w:val="57F262E3"/>
    <w:rsid w:val="58021001"/>
    <w:rsid w:val="58170EC8"/>
    <w:rsid w:val="58173466"/>
    <w:rsid w:val="585711D8"/>
    <w:rsid w:val="58582C8C"/>
    <w:rsid w:val="585C4B03"/>
    <w:rsid w:val="585D37CB"/>
    <w:rsid w:val="58603D93"/>
    <w:rsid w:val="58684C33"/>
    <w:rsid w:val="58720E4A"/>
    <w:rsid w:val="58727DC0"/>
    <w:rsid w:val="5894153B"/>
    <w:rsid w:val="58961A3A"/>
    <w:rsid w:val="58B21B2F"/>
    <w:rsid w:val="58D740C7"/>
    <w:rsid w:val="58D92071"/>
    <w:rsid w:val="5914275A"/>
    <w:rsid w:val="59234204"/>
    <w:rsid w:val="59290576"/>
    <w:rsid w:val="592B02D1"/>
    <w:rsid w:val="592B7B32"/>
    <w:rsid w:val="592C2766"/>
    <w:rsid w:val="593865BC"/>
    <w:rsid w:val="594B53DB"/>
    <w:rsid w:val="59720172"/>
    <w:rsid w:val="597A5654"/>
    <w:rsid w:val="59A4221A"/>
    <w:rsid w:val="59A42CE0"/>
    <w:rsid w:val="59C66B80"/>
    <w:rsid w:val="59CA3198"/>
    <w:rsid w:val="59E10B61"/>
    <w:rsid w:val="59E426D7"/>
    <w:rsid w:val="59FC3081"/>
    <w:rsid w:val="5A1D7B97"/>
    <w:rsid w:val="5A285344"/>
    <w:rsid w:val="5A6936CD"/>
    <w:rsid w:val="5A8675E8"/>
    <w:rsid w:val="5AAB0DD3"/>
    <w:rsid w:val="5ABF67E2"/>
    <w:rsid w:val="5AE46DE4"/>
    <w:rsid w:val="5AED0482"/>
    <w:rsid w:val="5AED1902"/>
    <w:rsid w:val="5AFD046C"/>
    <w:rsid w:val="5B041B7F"/>
    <w:rsid w:val="5B1A32AE"/>
    <w:rsid w:val="5B1C6E0F"/>
    <w:rsid w:val="5B2358AE"/>
    <w:rsid w:val="5B267297"/>
    <w:rsid w:val="5B2E31E1"/>
    <w:rsid w:val="5B42430C"/>
    <w:rsid w:val="5B5F225E"/>
    <w:rsid w:val="5B73276F"/>
    <w:rsid w:val="5B793A4F"/>
    <w:rsid w:val="5B9D752F"/>
    <w:rsid w:val="5BA86BDF"/>
    <w:rsid w:val="5BAA1E9F"/>
    <w:rsid w:val="5BBA5116"/>
    <w:rsid w:val="5BBC618A"/>
    <w:rsid w:val="5BCB089A"/>
    <w:rsid w:val="5BD269AB"/>
    <w:rsid w:val="5BE6665A"/>
    <w:rsid w:val="5BF31B2A"/>
    <w:rsid w:val="5C08245F"/>
    <w:rsid w:val="5C224EC8"/>
    <w:rsid w:val="5C30134A"/>
    <w:rsid w:val="5C487648"/>
    <w:rsid w:val="5C4E6404"/>
    <w:rsid w:val="5C547746"/>
    <w:rsid w:val="5C657C3C"/>
    <w:rsid w:val="5C716F5D"/>
    <w:rsid w:val="5C7B1E75"/>
    <w:rsid w:val="5C7C2BDD"/>
    <w:rsid w:val="5C7D18AB"/>
    <w:rsid w:val="5C7F4150"/>
    <w:rsid w:val="5C826ACA"/>
    <w:rsid w:val="5C851279"/>
    <w:rsid w:val="5C8D1232"/>
    <w:rsid w:val="5C993309"/>
    <w:rsid w:val="5CA14A72"/>
    <w:rsid w:val="5CAD27CF"/>
    <w:rsid w:val="5CC779FA"/>
    <w:rsid w:val="5CDA7B32"/>
    <w:rsid w:val="5CF003A6"/>
    <w:rsid w:val="5D192E41"/>
    <w:rsid w:val="5D216B2F"/>
    <w:rsid w:val="5D246671"/>
    <w:rsid w:val="5D3B390B"/>
    <w:rsid w:val="5D54789F"/>
    <w:rsid w:val="5D562192"/>
    <w:rsid w:val="5D577894"/>
    <w:rsid w:val="5D6E48CE"/>
    <w:rsid w:val="5D813CA0"/>
    <w:rsid w:val="5D981636"/>
    <w:rsid w:val="5DB375DD"/>
    <w:rsid w:val="5DBE27DB"/>
    <w:rsid w:val="5DD43A30"/>
    <w:rsid w:val="5DD71B40"/>
    <w:rsid w:val="5DDA30A3"/>
    <w:rsid w:val="5DE11648"/>
    <w:rsid w:val="5DFA422B"/>
    <w:rsid w:val="5E094243"/>
    <w:rsid w:val="5E0B778D"/>
    <w:rsid w:val="5E196EB2"/>
    <w:rsid w:val="5E343F81"/>
    <w:rsid w:val="5E466271"/>
    <w:rsid w:val="5E655BA4"/>
    <w:rsid w:val="5E70628B"/>
    <w:rsid w:val="5E736640"/>
    <w:rsid w:val="5E8049EB"/>
    <w:rsid w:val="5E8F66F3"/>
    <w:rsid w:val="5E987E64"/>
    <w:rsid w:val="5EB00371"/>
    <w:rsid w:val="5F211EE9"/>
    <w:rsid w:val="5F28073D"/>
    <w:rsid w:val="5F2E5F2D"/>
    <w:rsid w:val="5F456F50"/>
    <w:rsid w:val="5F523FA8"/>
    <w:rsid w:val="5F537C30"/>
    <w:rsid w:val="5F7F1C5C"/>
    <w:rsid w:val="5F856DF3"/>
    <w:rsid w:val="5F8F6B84"/>
    <w:rsid w:val="5F942556"/>
    <w:rsid w:val="5F9F2002"/>
    <w:rsid w:val="5FA80BDF"/>
    <w:rsid w:val="5FB25FCC"/>
    <w:rsid w:val="60153AD5"/>
    <w:rsid w:val="60244B47"/>
    <w:rsid w:val="603326D1"/>
    <w:rsid w:val="604807E9"/>
    <w:rsid w:val="604A1D5B"/>
    <w:rsid w:val="60522B63"/>
    <w:rsid w:val="60587264"/>
    <w:rsid w:val="606A5B2C"/>
    <w:rsid w:val="607024B6"/>
    <w:rsid w:val="60732A37"/>
    <w:rsid w:val="608E6794"/>
    <w:rsid w:val="60985301"/>
    <w:rsid w:val="60AD1D09"/>
    <w:rsid w:val="60B2418B"/>
    <w:rsid w:val="60C103B8"/>
    <w:rsid w:val="60C549DE"/>
    <w:rsid w:val="60C66D6C"/>
    <w:rsid w:val="60CB6E60"/>
    <w:rsid w:val="60CE2F0E"/>
    <w:rsid w:val="60D06E42"/>
    <w:rsid w:val="60D266CD"/>
    <w:rsid w:val="60D37311"/>
    <w:rsid w:val="60DA590C"/>
    <w:rsid w:val="60DC4A79"/>
    <w:rsid w:val="60FB23B0"/>
    <w:rsid w:val="610C3BA2"/>
    <w:rsid w:val="612B7DC5"/>
    <w:rsid w:val="61366E16"/>
    <w:rsid w:val="61377AD1"/>
    <w:rsid w:val="61401A07"/>
    <w:rsid w:val="61451D0F"/>
    <w:rsid w:val="614C7951"/>
    <w:rsid w:val="61514B8A"/>
    <w:rsid w:val="61783B75"/>
    <w:rsid w:val="6188644B"/>
    <w:rsid w:val="61A22D98"/>
    <w:rsid w:val="61B43B70"/>
    <w:rsid w:val="61B97BD0"/>
    <w:rsid w:val="61C11740"/>
    <w:rsid w:val="61C71504"/>
    <w:rsid w:val="61C71847"/>
    <w:rsid w:val="61E070F9"/>
    <w:rsid w:val="61E74768"/>
    <w:rsid w:val="62012939"/>
    <w:rsid w:val="620B3153"/>
    <w:rsid w:val="620D1467"/>
    <w:rsid w:val="621A02F5"/>
    <w:rsid w:val="6227613A"/>
    <w:rsid w:val="62287B05"/>
    <w:rsid w:val="62295F22"/>
    <w:rsid w:val="623C418C"/>
    <w:rsid w:val="62423DBB"/>
    <w:rsid w:val="62456968"/>
    <w:rsid w:val="62502BC4"/>
    <w:rsid w:val="62514EC8"/>
    <w:rsid w:val="6255216C"/>
    <w:rsid w:val="62573C5D"/>
    <w:rsid w:val="62646065"/>
    <w:rsid w:val="62712EEE"/>
    <w:rsid w:val="6281221E"/>
    <w:rsid w:val="629A2536"/>
    <w:rsid w:val="62AF7518"/>
    <w:rsid w:val="62B62F75"/>
    <w:rsid w:val="62C25D16"/>
    <w:rsid w:val="62E72CA9"/>
    <w:rsid w:val="62E8729A"/>
    <w:rsid w:val="62ED0AA0"/>
    <w:rsid w:val="63010C81"/>
    <w:rsid w:val="630260B9"/>
    <w:rsid w:val="6306219B"/>
    <w:rsid w:val="630F1BBC"/>
    <w:rsid w:val="633A2510"/>
    <w:rsid w:val="63772099"/>
    <w:rsid w:val="637A38E5"/>
    <w:rsid w:val="637E785B"/>
    <w:rsid w:val="63A001D8"/>
    <w:rsid w:val="63A569DF"/>
    <w:rsid w:val="63BE65AF"/>
    <w:rsid w:val="63C01FEA"/>
    <w:rsid w:val="63C03EE5"/>
    <w:rsid w:val="63E678D7"/>
    <w:rsid w:val="63E902F4"/>
    <w:rsid w:val="63ED4AF8"/>
    <w:rsid w:val="63F33619"/>
    <w:rsid w:val="63F53CD0"/>
    <w:rsid w:val="640346DD"/>
    <w:rsid w:val="642379E0"/>
    <w:rsid w:val="64332F55"/>
    <w:rsid w:val="643B63A2"/>
    <w:rsid w:val="643F7F55"/>
    <w:rsid w:val="64462F1B"/>
    <w:rsid w:val="644D6461"/>
    <w:rsid w:val="644F3511"/>
    <w:rsid w:val="64506452"/>
    <w:rsid w:val="6468183C"/>
    <w:rsid w:val="646F57A5"/>
    <w:rsid w:val="647A0D4B"/>
    <w:rsid w:val="64811B73"/>
    <w:rsid w:val="648515BB"/>
    <w:rsid w:val="64852A38"/>
    <w:rsid w:val="64864146"/>
    <w:rsid w:val="64AD3EBF"/>
    <w:rsid w:val="64AE5EAB"/>
    <w:rsid w:val="64B62105"/>
    <w:rsid w:val="64C668DD"/>
    <w:rsid w:val="64D57726"/>
    <w:rsid w:val="64E67639"/>
    <w:rsid w:val="64EF6ECB"/>
    <w:rsid w:val="64F81AB2"/>
    <w:rsid w:val="65006754"/>
    <w:rsid w:val="65063DE0"/>
    <w:rsid w:val="651405B3"/>
    <w:rsid w:val="651A2824"/>
    <w:rsid w:val="652954D0"/>
    <w:rsid w:val="6533038C"/>
    <w:rsid w:val="65497003"/>
    <w:rsid w:val="654E71A5"/>
    <w:rsid w:val="6553332A"/>
    <w:rsid w:val="65614C0D"/>
    <w:rsid w:val="65705CEC"/>
    <w:rsid w:val="657A418E"/>
    <w:rsid w:val="65873105"/>
    <w:rsid w:val="659C5ED8"/>
    <w:rsid w:val="659D437E"/>
    <w:rsid w:val="65A32D6E"/>
    <w:rsid w:val="65A5023F"/>
    <w:rsid w:val="65AA2410"/>
    <w:rsid w:val="65B16DF1"/>
    <w:rsid w:val="65BF03BD"/>
    <w:rsid w:val="65D80595"/>
    <w:rsid w:val="65DC2E2C"/>
    <w:rsid w:val="65E01FB5"/>
    <w:rsid w:val="65E36C13"/>
    <w:rsid w:val="65F00C06"/>
    <w:rsid w:val="65F30CB6"/>
    <w:rsid w:val="65F50535"/>
    <w:rsid w:val="65FB7D7C"/>
    <w:rsid w:val="65FF2381"/>
    <w:rsid w:val="66070660"/>
    <w:rsid w:val="66083E57"/>
    <w:rsid w:val="660E3351"/>
    <w:rsid w:val="66365B9F"/>
    <w:rsid w:val="663D1B89"/>
    <w:rsid w:val="664E0C43"/>
    <w:rsid w:val="664E0F9F"/>
    <w:rsid w:val="6660394E"/>
    <w:rsid w:val="66682DD3"/>
    <w:rsid w:val="66686BF2"/>
    <w:rsid w:val="667C084F"/>
    <w:rsid w:val="66856E63"/>
    <w:rsid w:val="6690152A"/>
    <w:rsid w:val="669D0BD4"/>
    <w:rsid w:val="66BA4456"/>
    <w:rsid w:val="66D333E8"/>
    <w:rsid w:val="66D54FD7"/>
    <w:rsid w:val="66FF4863"/>
    <w:rsid w:val="6712276E"/>
    <w:rsid w:val="671848AA"/>
    <w:rsid w:val="67242BCD"/>
    <w:rsid w:val="672A6878"/>
    <w:rsid w:val="67342B4E"/>
    <w:rsid w:val="673A5368"/>
    <w:rsid w:val="675704BC"/>
    <w:rsid w:val="676340B5"/>
    <w:rsid w:val="6768153B"/>
    <w:rsid w:val="67693F59"/>
    <w:rsid w:val="676B5874"/>
    <w:rsid w:val="678A3584"/>
    <w:rsid w:val="67AA4162"/>
    <w:rsid w:val="67AA6D97"/>
    <w:rsid w:val="67BA3F49"/>
    <w:rsid w:val="67BB3BB7"/>
    <w:rsid w:val="67F9406F"/>
    <w:rsid w:val="68032612"/>
    <w:rsid w:val="68057A7D"/>
    <w:rsid w:val="6809295C"/>
    <w:rsid w:val="68260D79"/>
    <w:rsid w:val="68282249"/>
    <w:rsid w:val="685C1B00"/>
    <w:rsid w:val="686456EB"/>
    <w:rsid w:val="689D3BCD"/>
    <w:rsid w:val="68A439F4"/>
    <w:rsid w:val="68AC4A8A"/>
    <w:rsid w:val="68C82F6F"/>
    <w:rsid w:val="68C841F3"/>
    <w:rsid w:val="68CB05EE"/>
    <w:rsid w:val="68DE5458"/>
    <w:rsid w:val="68F746E1"/>
    <w:rsid w:val="69033123"/>
    <w:rsid w:val="69051076"/>
    <w:rsid w:val="690B0B8A"/>
    <w:rsid w:val="690E607B"/>
    <w:rsid w:val="69137A29"/>
    <w:rsid w:val="69193892"/>
    <w:rsid w:val="691D5C3A"/>
    <w:rsid w:val="69266EBB"/>
    <w:rsid w:val="692A1FF1"/>
    <w:rsid w:val="694513B6"/>
    <w:rsid w:val="696C260A"/>
    <w:rsid w:val="6984251F"/>
    <w:rsid w:val="699966E2"/>
    <w:rsid w:val="69A50BBF"/>
    <w:rsid w:val="69A52B6D"/>
    <w:rsid w:val="69AB641F"/>
    <w:rsid w:val="69B91328"/>
    <w:rsid w:val="69BD4D07"/>
    <w:rsid w:val="69C269EA"/>
    <w:rsid w:val="69C42087"/>
    <w:rsid w:val="69D76445"/>
    <w:rsid w:val="69DD2F27"/>
    <w:rsid w:val="69F829B9"/>
    <w:rsid w:val="69F973E4"/>
    <w:rsid w:val="69FB7CD1"/>
    <w:rsid w:val="6A10568B"/>
    <w:rsid w:val="6A1201B8"/>
    <w:rsid w:val="6A3A6264"/>
    <w:rsid w:val="6A4D243B"/>
    <w:rsid w:val="6A550708"/>
    <w:rsid w:val="6A5D6635"/>
    <w:rsid w:val="6A677D0D"/>
    <w:rsid w:val="6A6A3B46"/>
    <w:rsid w:val="6A6C020A"/>
    <w:rsid w:val="6A6E499E"/>
    <w:rsid w:val="6A735EBD"/>
    <w:rsid w:val="6A81407F"/>
    <w:rsid w:val="6A911094"/>
    <w:rsid w:val="6A99307C"/>
    <w:rsid w:val="6A9F0DC8"/>
    <w:rsid w:val="6AA2262C"/>
    <w:rsid w:val="6AB16FFC"/>
    <w:rsid w:val="6ACB1795"/>
    <w:rsid w:val="6AD728FD"/>
    <w:rsid w:val="6ADE1111"/>
    <w:rsid w:val="6AE84BC3"/>
    <w:rsid w:val="6B064326"/>
    <w:rsid w:val="6B1B1156"/>
    <w:rsid w:val="6B2E563C"/>
    <w:rsid w:val="6B2E77A4"/>
    <w:rsid w:val="6B4B5731"/>
    <w:rsid w:val="6B6D2E2F"/>
    <w:rsid w:val="6B7B04B4"/>
    <w:rsid w:val="6B9C2A74"/>
    <w:rsid w:val="6BA2118F"/>
    <w:rsid w:val="6BA459D4"/>
    <w:rsid w:val="6BCC57E3"/>
    <w:rsid w:val="6BD149A6"/>
    <w:rsid w:val="6BD25201"/>
    <w:rsid w:val="6BDF54AD"/>
    <w:rsid w:val="6BE61923"/>
    <w:rsid w:val="6C143BA6"/>
    <w:rsid w:val="6C5D1824"/>
    <w:rsid w:val="6C6830AF"/>
    <w:rsid w:val="6C7159FE"/>
    <w:rsid w:val="6C727620"/>
    <w:rsid w:val="6C867733"/>
    <w:rsid w:val="6C8D3554"/>
    <w:rsid w:val="6C97606E"/>
    <w:rsid w:val="6CAC4AFA"/>
    <w:rsid w:val="6CAF0D11"/>
    <w:rsid w:val="6CB236AA"/>
    <w:rsid w:val="6CC15276"/>
    <w:rsid w:val="6CC15E54"/>
    <w:rsid w:val="6CC5394E"/>
    <w:rsid w:val="6CD53D2B"/>
    <w:rsid w:val="6CE016FE"/>
    <w:rsid w:val="6CE04B84"/>
    <w:rsid w:val="6CF14938"/>
    <w:rsid w:val="6D011A5C"/>
    <w:rsid w:val="6D033285"/>
    <w:rsid w:val="6D0B038C"/>
    <w:rsid w:val="6D0D35DA"/>
    <w:rsid w:val="6D2B10DB"/>
    <w:rsid w:val="6D3011AC"/>
    <w:rsid w:val="6D390EDB"/>
    <w:rsid w:val="6D622C28"/>
    <w:rsid w:val="6D6B2EDB"/>
    <w:rsid w:val="6D6D1E61"/>
    <w:rsid w:val="6D711A1E"/>
    <w:rsid w:val="6D715376"/>
    <w:rsid w:val="6D7F401A"/>
    <w:rsid w:val="6D80592C"/>
    <w:rsid w:val="6D84596F"/>
    <w:rsid w:val="6DAA4AB0"/>
    <w:rsid w:val="6DAF081C"/>
    <w:rsid w:val="6DC3689E"/>
    <w:rsid w:val="6DC678FE"/>
    <w:rsid w:val="6DC95879"/>
    <w:rsid w:val="6DD10F35"/>
    <w:rsid w:val="6DEC4E3A"/>
    <w:rsid w:val="6E186B62"/>
    <w:rsid w:val="6E214381"/>
    <w:rsid w:val="6E2D46C4"/>
    <w:rsid w:val="6E2D6D34"/>
    <w:rsid w:val="6E3C7C7D"/>
    <w:rsid w:val="6E421D5D"/>
    <w:rsid w:val="6E47678D"/>
    <w:rsid w:val="6E5224DF"/>
    <w:rsid w:val="6E6D7AFB"/>
    <w:rsid w:val="6E810923"/>
    <w:rsid w:val="6EC92879"/>
    <w:rsid w:val="6ED457D5"/>
    <w:rsid w:val="6EE56C54"/>
    <w:rsid w:val="6EE91F02"/>
    <w:rsid w:val="6EF12905"/>
    <w:rsid w:val="6EF74F0A"/>
    <w:rsid w:val="6EFE2BB7"/>
    <w:rsid w:val="6F01601A"/>
    <w:rsid w:val="6F233C1F"/>
    <w:rsid w:val="6F4D6E1D"/>
    <w:rsid w:val="6F6E4C5D"/>
    <w:rsid w:val="6F7F4719"/>
    <w:rsid w:val="6F84760C"/>
    <w:rsid w:val="6F877B94"/>
    <w:rsid w:val="6F9B58FB"/>
    <w:rsid w:val="6FA7491A"/>
    <w:rsid w:val="6FAC7C04"/>
    <w:rsid w:val="6FE2307F"/>
    <w:rsid w:val="6FE32462"/>
    <w:rsid w:val="6FE75546"/>
    <w:rsid w:val="6FEE472E"/>
    <w:rsid w:val="70034427"/>
    <w:rsid w:val="70237CEF"/>
    <w:rsid w:val="70295F6D"/>
    <w:rsid w:val="70331AC5"/>
    <w:rsid w:val="703C2BBD"/>
    <w:rsid w:val="704746B1"/>
    <w:rsid w:val="7061287F"/>
    <w:rsid w:val="70691F5D"/>
    <w:rsid w:val="706D22F9"/>
    <w:rsid w:val="707A45C2"/>
    <w:rsid w:val="70922EEE"/>
    <w:rsid w:val="70B52C70"/>
    <w:rsid w:val="70B56186"/>
    <w:rsid w:val="70C544D5"/>
    <w:rsid w:val="70C61E12"/>
    <w:rsid w:val="70F77969"/>
    <w:rsid w:val="71052321"/>
    <w:rsid w:val="71425325"/>
    <w:rsid w:val="71506357"/>
    <w:rsid w:val="71583C5A"/>
    <w:rsid w:val="717D42DD"/>
    <w:rsid w:val="717D4926"/>
    <w:rsid w:val="718D0AD8"/>
    <w:rsid w:val="71B633C8"/>
    <w:rsid w:val="71DC4544"/>
    <w:rsid w:val="71DE51BF"/>
    <w:rsid w:val="71DF6680"/>
    <w:rsid w:val="71EF613C"/>
    <w:rsid w:val="71F40E4A"/>
    <w:rsid w:val="7203266F"/>
    <w:rsid w:val="72671BCE"/>
    <w:rsid w:val="72944E47"/>
    <w:rsid w:val="72B94A7E"/>
    <w:rsid w:val="72DE4AED"/>
    <w:rsid w:val="72DE4C71"/>
    <w:rsid w:val="72EC4744"/>
    <w:rsid w:val="72EF7585"/>
    <w:rsid w:val="72F849CE"/>
    <w:rsid w:val="72FD58C9"/>
    <w:rsid w:val="73007614"/>
    <w:rsid w:val="731F6A02"/>
    <w:rsid w:val="732868E6"/>
    <w:rsid w:val="734B052F"/>
    <w:rsid w:val="735718EB"/>
    <w:rsid w:val="735B21C3"/>
    <w:rsid w:val="735F2CFA"/>
    <w:rsid w:val="73611ECC"/>
    <w:rsid w:val="73634BBB"/>
    <w:rsid w:val="73647985"/>
    <w:rsid w:val="736C7458"/>
    <w:rsid w:val="73A1322F"/>
    <w:rsid w:val="73DB2257"/>
    <w:rsid w:val="73F46966"/>
    <w:rsid w:val="74095E38"/>
    <w:rsid w:val="74126FBE"/>
    <w:rsid w:val="7413517C"/>
    <w:rsid w:val="743F5681"/>
    <w:rsid w:val="74536224"/>
    <w:rsid w:val="745D239C"/>
    <w:rsid w:val="74674720"/>
    <w:rsid w:val="746B6604"/>
    <w:rsid w:val="747C1F39"/>
    <w:rsid w:val="74825713"/>
    <w:rsid w:val="74986342"/>
    <w:rsid w:val="74996056"/>
    <w:rsid w:val="749D5B26"/>
    <w:rsid w:val="74AC653C"/>
    <w:rsid w:val="74CF7D0C"/>
    <w:rsid w:val="74D80A54"/>
    <w:rsid w:val="74D86A22"/>
    <w:rsid w:val="74DE65FA"/>
    <w:rsid w:val="74F16815"/>
    <w:rsid w:val="74FA6D1C"/>
    <w:rsid w:val="750C740D"/>
    <w:rsid w:val="752A4897"/>
    <w:rsid w:val="7536359C"/>
    <w:rsid w:val="755C389E"/>
    <w:rsid w:val="756845CD"/>
    <w:rsid w:val="75727733"/>
    <w:rsid w:val="7594671F"/>
    <w:rsid w:val="75A23F7E"/>
    <w:rsid w:val="75A76D40"/>
    <w:rsid w:val="75AF4105"/>
    <w:rsid w:val="75B737F1"/>
    <w:rsid w:val="75BF0142"/>
    <w:rsid w:val="75C51BB6"/>
    <w:rsid w:val="75CB2BCE"/>
    <w:rsid w:val="75EA3122"/>
    <w:rsid w:val="75EC63C9"/>
    <w:rsid w:val="75F52BC0"/>
    <w:rsid w:val="75F625D6"/>
    <w:rsid w:val="760045A4"/>
    <w:rsid w:val="76007592"/>
    <w:rsid w:val="762E14B1"/>
    <w:rsid w:val="7637307A"/>
    <w:rsid w:val="764F1F37"/>
    <w:rsid w:val="765076BB"/>
    <w:rsid w:val="765F1723"/>
    <w:rsid w:val="765F3E7C"/>
    <w:rsid w:val="76755C75"/>
    <w:rsid w:val="7679035D"/>
    <w:rsid w:val="76793D8C"/>
    <w:rsid w:val="76971B56"/>
    <w:rsid w:val="76A648DC"/>
    <w:rsid w:val="76AC55D8"/>
    <w:rsid w:val="76C6263E"/>
    <w:rsid w:val="76E01005"/>
    <w:rsid w:val="76E41D0A"/>
    <w:rsid w:val="76F01CF3"/>
    <w:rsid w:val="76FD1290"/>
    <w:rsid w:val="7701077E"/>
    <w:rsid w:val="77236314"/>
    <w:rsid w:val="775D6C97"/>
    <w:rsid w:val="776B3F01"/>
    <w:rsid w:val="77724B69"/>
    <w:rsid w:val="77727312"/>
    <w:rsid w:val="777B4B4A"/>
    <w:rsid w:val="77845BDD"/>
    <w:rsid w:val="779E6579"/>
    <w:rsid w:val="77A23930"/>
    <w:rsid w:val="77D42FEF"/>
    <w:rsid w:val="77DA7D91"/>
    <w:rsid w:val="77DD5B9C"/>
    <w:rsid w:val="77F26B75"/>
    <w:rsid w:val="77F66082"/>
    <w:rsid w:val="780411EB"/>
    <w:rsid w:val="780A344D"/>
    <w:rsid w:val="784041F7"/>
    <w:rsid w:val="78413046"/>
    <w:rsid w:val="785A79A3"/>
    <w:rsid w:val="787C1D54"/>
    <w:rsid w:val="78807394"/>
    <w:rsid w:val="788543EC"/>
    <w:rsid w:val="788B4DC4"/>
    <w:rsid w:val="789C7ACC"/>
    <w:rsid w:val="78CB0329"/>
    <w:rsid w:val="78D21080"/>
    <w:rsid w:val="78EC3710"/>
    <w:rsid w:val="79185B7A"/>
    <w:rsid w:val="7920577E"/>
    <w:rsid w:val="792369E9"/>
    <w:rsid w:val="792C412C"/>
    <w:rsid w:val="793751D8"/>
    <w:rsid w:val="79681FBC"/>
    <w:rsid w:val="79755A19"/>
    <w:rsid w:val="797A2C70"/>
    <w:rsid w:val="798600DA"/>
    <w:rsid w:val="7987650A"/>
    <w:rsid w:val="798D134A"/>
    <w:rsid w:val="79991EA4"/>
    <w:rsid w:val="79A95B89"/>
    <w:rsid w:val="79AB03F9"/>
    <w:rsid w:val="79C778E9"/>
    <w:rsid w:val="79D17233"/>
    <w:rsid w:val="79E86588"/>
    <w:rsid w:val="7A025E4D"/>
    <w:rsid w:val="7A135BB5"/>
    <w:rsid w:val="7A1A1D96"/>
    <w:rsid w:val="7A1B4BBB"/>
    <w:rsid w:val="7A245BAF"/>
    <w:rsid w:val="7A2B57B1"/>
    <w:rsid w:val="7A453C19"/>
    <w:rsid w:val="7A590322"/>
    <w:rsid w:val="7A617F5B"/>
    <w:rsid w:val="7A64113F"/>
    <w:rsid w:val="7A663C2A"/>
    <w:rsid w:val="7A7705F5"/>
    <w:rsid w:val="7A786E71"/>
    <w:rsid w:val="7AAD111F"/>
    <w:rsid w:val="7AB6519A"/>
    <w:rsid w:val="7ACA2770"/>
    <w:rsid w:val="7ACD47C3"/>
    <w:rsid w:val="7ADC2B78"/>
    <w:rsid w:val="7AE14D4F"/>
    <w:rsid w:val="7B0A3F1E"/>
    <w:rsid w:val="7B1D12FE"/>
    <w:rsid w:val="7B25113C"/>
    <w:rsid w:val="7B2A3ECA"/>
    <w:rsid w:val="7B5872D1"/>
    <w:rsid w:val="7B667150"/>
    <w:rsid w:val="7BB66B66"/>
    <w:rsid w:val="7BD171E6"/>
    <w:rsid w:val="7BF2332A"/>
    <w:rsid w:val="7BF423FF"/>
    <w:rsid w:val="7C014ED7"/>
    <w:rsid w:val="7C041852"/>
    <w:rsid w:val="7C0B5CB2"/>
    <w:rsid w:val="7C2E1981"/>
    <w:rsid w:val="7C3053F6"/>
    <w:rsid w:val="7C5B56C5"/>
    <w:rsid w:val="7C9670FB"/>
    <w:rsid w:val="7C977546"/>
    <w:rsid w:val="7C980FFB"/>
    <w:rsid w:val="7CB42FA4"/>
    <w:rsid w:val="7CC24774"/>
    <w:rsid w:val="7CCB0371"/>
    <w:rsid w:val="7CCC5441"/>
    <w:rsid w:val="7CF16E74"/>
    <w:rsid w:val="7CF74DD1"/>
    <w:rsid w:val="7CF96B40"/>
    <w:rsid w:val="7D090EFA"/>
    <w:rsid w:val="7D097C09"/>
    <w:rsid w:val="7D1A50C7"/>
    <w:rsid w:val="7D1D16A6"/>
    <w:rsid w:val="7D1E6C2B"/>
    <w:rsid w:val="7D270762"/>
    <w:rsid w:val="7D4E099E"/>
    <w:rsid w:val="7D6406EC"/>
    <w:rsid w:val="7D7323CB"/>
    <w:rsid w:val="7D791132"/>
    <w:rsid w:val="7D8A6F90"/>
    <w:rsid w:val="7DB0351A"/>
    <w:rsid w:val="7DB25F38"/>
    <w:rsid w:val="7DC52CDE"/>
    <w:rsid w:val="7DC60390"/>
    <w:rsid w:val="7DD02700"/>
    <w:rsid w:val="7DE431ED"/>
    <w:rsid w:val="7DEB35CE"/>
    <w:rsid w:val="7DF12201"/>
    <w:rsid w:val="7DF45BBA"/>
    <w:rsid w:val="7DF9213B"/>
    <w:rsid w:val="7E203C46"/>
    <w:rsid w:val="7E365CFF"/>
    <w:rsid w:val="7E466E9F"/>
    <w:rsid w:val="7E627D1F"/>
    <w:rsid w:val="7E6A4861"/>
    <w:rsid w:val="7E6C6404"/>
    <w:rsid w:val="7E6F6EE4"/>
    <w:rsid w:val="7E703C35"/>
    <w:rsid w:val="7E8413C9"/>
    <w:rsid w:val="7E891C94"/>
    <w:rsid w:val="7E9A2534"/>
    <w:rsid w:val="7EA54DD6"/>
    <w:rsid w:val="7EB0627E"/>
    <w:rsid w:val="7EC37E09"/>
    <w:rsid w:val="7ED33068"/>
    <w:rsid w:val="7ED50C6B"/>
    <w:rsid w:val="7F043C8F"/>
    <w:rsid w:val="7F1D3D9B"/>
    <w:rsid w:val="7F242CB7"/>
    <w:rsid w:val="7F253CC7"/>
    <w:rsid w:val="7F376726"/>
    <w:rsid w:val="7F505F6A"/>
    <w:rsid w:val="7F5570E5"/>
    <w:rsid w:val="7F6F5896"/>
    <w:rsid w:val="7F722B05"/>
    <w:rsid w:val="7F7C5D99"/>
    <w:rsid w:val="7F8A34E2"/>
    <w:rsid w:val="7F9225F4"/>
    <w:rsid w:val="7F9A301A"/>
    <w:rsid w:val="7F9A730A"/>
    <w:rsid w:val="7FA269FE"/>
    <w:rsid w:val="7FBA6464"/>
    <w:rsid w:val="7FC70FAD"/>
    <w:rsid w:val="7FC7529C"/>
    <w:rsid w:val="7FCA4471"/>
    <w:rsid w:val="7FD026E0"/>
    <w:rsid w:val="7FD50C69"/>
    <w:rsid w:val="7FEC3A5A"/>
    <w:rsid w:val="7FEF6339"/>
    <w:rsid w:val="7FF34C9F"/>
    <w:rsid w:val="7FF742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3"/>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jc w:val="center"/>
    </w:pPr>
    <w:rPr>
      <w:szCs w:val="21"/>
    </w:rPr>
  </w:style>
  <w:style w:type="paragraph" w:styleId="5">
    <w:name w:val="annotation text"/>
    <w:basedOn w:val="1"/>
    <w:semiHidden/>
    <w:unhideWhenUsed/>
    <w:qFormat/>
    <w:uiPriority w:val="99"/>
    <w:pPr>
      <w:jc w:val="left"/>
    </w:pPr>
  </w:style>
  <w:style w:type="paragraph" w:styleId="6">
    <w:name w:val="Block Text"/>
    <w:basedOn w:val="1"/>
    <w:next w:val="1"/>
    <w:unhideWhenUsed/>
    <w:qFormat/>
    <w:uiPriority w:val="99"/>
    <w:pPr>
      <w:spacing w:line="560" w:lineRule="exact"/>
      <w:ind w:firstLine="1120" w:firstLineChars="200"/>
    </w:pPr>
    <w:rPr>
      <w:rFonts w:eastAsia="仿宋"/>
      <w:sz w:val="32"/>
    </w:rPr>
  </w:style>
  <w:style w:type="paragraph" w:styleId="7">
    <w:name w:val="Balloon Text"/>
    <w:basedOn w:val="1"/>
    <w:link w:val="19"/>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unhideWhenUsed/>
    <w:qFormat/>
    <w:uiPriority w:val="0"/>
    <w:pPr>
      <w:spacing w:after="120" w:line="480" w:lineRule="auto"/>
    </w:pPr>
  </w:style>
  <w:style w:type="paragraph" w:styleId="11">
    <w:name w:val="Normal (Web)"/>
    <w:basedOn w:val="1"/>
    <w:qFormat/>
    <w:uiPriority w:val="0"/>
    <w:pPr>
      <w:spacing w:beforeAutospacing="1" w:afterAutospacing="1"/>
      <w:jc w:val="left"/>
    </w:pPr>
    <w:rPr>
      <w:kern w:val="0"/>
      <w:sz w:val="24"/>
    </w:rPr>
  </w:style>
  <w:style w:type="paragraph" w:styleId="12">
    <w:name w:val="Title"/>
    <w:basedOn w:val="1"/>
    <w:qFormat/>
    <w:uiPriority w:val="0"/>
    <w:pPr>
      <w:spacing w:line="0" w:lineRule="atLeast"/>
      <w:jc w:val="center"/>
    </w:pPr>
    <w:rPr>
      <w:rFonts w:ascii="Arial" w:hAnsi="Arial" w:eastAsia="黑体"/>
      <w:sz w:val="52"/>
    </w:rPr>
  </w:style>
  <w:style w:type="character" w:styleId="15">
    <w:name w:val="Strong"/>
    <w:basedOn w:val="14"/>
    <w:qFormat/>
    <w:uiPriority w:val="22"/>
    <w:rPr>
      <w:b/>
      <w:bCs/>
    </w:rPr>
  </w:style>
  <w:style w:type="character" w:styleId="16">
    <w:name w:val="page number"/>
    <w:basedOn w:val="14"/>
    <w:qFormat/>
    <w:uiPriority w:val="0"/>
  </w:style>
  <w:style w:type="character" w:styleId="17">
    <w:name w:val="annotation reference"/>
    <w:basedOn w:val="14"/>
    <w:semiHidden/>
    <w:unhideWhenUsed/>
    <w:qFormat/>
    <w:uiPriority w:val="99"/>
    <w:rPr>
      <w:sz w:val="21"/>
      <w:szCs w:val="21"/>
    </w:rPr>
  </w:style>
  <w:style w:type="character" w:customStyle="1" w:styleId="18">
    <w:name w:val="页眉 Char"/>
    <w:basedOn w:val="14"/>
    <w:link w:val="9"/>
    <w:qFormat/>
    <w:uiPriority w:val="0"/>
    <w:rPr>
      <w:rFonts w:ascii="Calibri" w:hAnsi="Calibri" w:eastAsia="宋体" w:cs="宋体"/>
      <w:kern w:val="2"/>
      <w:sz w:val="18"/>
      <w:szCs w:val="18"/>
    </w:rPr>
  </w:style>
  <w:style w:type="character" w:customStyle="1" w:styleId="19">
    <w:name w:val="批注框文本 Char"/>
    <w:basedOn w:val="14"/>
    <w:link w:val="7"/>
    <w:qFormat/>
    <w:uiPriority w:val="0"/>
    <w:rPr>
      <w:rFonts w:ascii="Calibri" w:hAnsi="Calibri" w:cs="宋体"/>
      <w:kern w:val="2"/>
      <w:sz w:val="18"/>
      <w:szCs w:val="18"/>
    </w:rPr>
  </w:style>
  <w:style w:type="paragraph" w:customStyle="1" w:styleId="20">
    <w:name w:val="Revision"/>
    <w:hidden/>
    <w:unhideWhenUsed/>
    <w:qFormat/>
    <w:uiPriority w:val="99"/>
    <w:rPr>
      <w:rFonts w:ascii="Calibri" w:hAnsi="Calibri" w:eastAsia="宋体" w:cs="宋体"/>
      <w:kern w:val="2"/>
      <w:sz w:val="21"/>
      <w:szCs w:val="24"/>
      <w:lang w:val="en-US" w:eastAsia="zh-CN" w:bidi="ar-SA"/>
    </w:rPr>
  </w:style>
  <w:style w:type="paragraph" w:customStyle="1" w:styleId="21">
    <w:name w:val="仿宋正文"/>
    <w:basedOn w:val="1"/>
    <w:qFormat/>
    <w:uiPriority w:val="0"/>
    <w:pPr>
      <w:spacing w:line="600" w:lineRule="exact"/>
      <w:ind w:firstLine="420"/>
    </w:pPr>
    <w:rPr>
      <w:rFonts w:ascii="Times New Roman" w:hAnsi="Times New Roman" w:eastAsia="方正仿宋简体"/>
      <w:szCs w:val="32"/>
    </w:rPr>
  </w:style>
  <w:style w:type="paragraph" w:customStyle="1" w:styleId="22">
    <w:name w:val="Content_Message"/>
    <w:qFormat/>
    <w:uiPriority w:val="0"/>
    <w:pPr>
      <w:spacing w:line="480" w:lineRule="exact"/>
    </w:pPr>
    <w:rPr>
      <w:rFonts w:ascii="汉仪旗黑-50简" w:hAnsi="汉仪旗黑-50简" w:eastAsia="汉仪旗黑-50简" w:cs="汉仪旗黑-50简"/>
      <w:color w:val="3F3F3F"/>
      <w:sz w:val="28"/>
      <w:szCs w:val="28"/>
      <w:lang w:val="en-US" w:eastAsia="zh-CN" w:bidi="ar-SA"/>
    </w:rPr>
  </w:style>
  <w:style w:type="character" w:customStyle="1" w:styleId="23">
    <w:name w:val="font131"/>
    <w:basedOn w:val="14"/>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1844</Words>
  <Characters>1947</Characters>
  <Lines>104</Lines>
  <Paragraphs>29</Paragraphs>
  <TotalTime>5</TotalTime>
  <ScaleCrop>false</ScaleCrop>
  <LinksUpToDate>false</LinksUpToDate>
  <CharactersWithSpaces>1952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2024-02-29T01:42:00Z</dcterms:created>
  <dc:creator>WPS_1613829726</dc:creator>
  <cp:lastModifiedBy>Yuejingxian</cp:lastModifiedBy>
  <cp:lastPrinted>2026-07-20T08:17:00Z</cp:lastPrinted>
  <dcterms:modified xsi:type="dcterms:W3CDTF">2026-08-14T09:16:04Z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808453064B9E47298DC7A5750EC92E33_13</vt:lpwstr>
  </property>
  <property fmtid="{D5CDD505-2E9C-101B-9397-08002B2CF9AE}" pid="4" name="KSOTemplateDocerSaveRecord">
    <vt:lpwstr>eyJoZGlkIjoiNTM5ZjNmYzZjMjhkZTkwMTRlNmZhYjZlMzczZTRiODIiLCJ1c2VySWQiOiIyNTg1NzY2MTcifQ==</vt:lpwstr>
  </property>
</Properties>
</file>